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8"/>
        </w:rPr>
      </w:pPr>
      <w:r>
        <w:rPr>
          <w:rFonts w:hint="eastAsia"/>
          <w:sz w:val="28"/>
        </w:rPr>
        <w:t>山西大学第五届“山大青年说”创意演讲比赛规则及评分细则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一、报名方式</w:t>
      </w:r>
    </w:p>
    <w:p>
      <w:pPr>
        <w:tabs>
          <w:tab w:val="left" w:pos="2420"/>
        </w:tabs>
        <w:ind w:left="210" w:leftChars="100" w:firstLine="280" w:firstLineChars="10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1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现场报名：个人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可在</w:t>
      </w:r>
      <w:r>
        <w:rPr>
          <w:rFonts w:hint="eastAsia" w:ascii="仿宋" w:hAnsi="仿宋" w:eastAsia="仿宋" w:cs="仿宋"/>
          <w:color w:val="000000"/>
          <w:kern w:val="32"/>
          <w:sz w:val="28"/>
          <w:szCs w:val="32"/>
        </w:rPr>
        <w:t>2020年11月16日至2019年11月17日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期间在文瀛、令德餐厅定点宣传处进行现场报名；</w:t>
      </w:r>
    </w:p>
    <w:p>
      <w:pPr>
        <w:tabs>
          <w:tab w:val="left" w:pos="2436"/>
        </w:tabs>
        <w:ind w:left="210" w:leftChars="100" w:firstLine="280" w:firstLineChars="100"/>
        <w:jc w:val="left"/>
        <w:rPr>
          <w:rFonts w:ascii="仿宋_GB2312" w:hAnsi="宋体" w:eastAsia="仿宋_GB2312"/>
          <w:color w:val="000000"/>
          <w:kern w:val="3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2、学院报名：错过现场报名的同学，可向所属学院报名，各学院负责人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于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11月19日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中午12点30至14点，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将报名表（见附件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）加盖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所属学院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公章报送至教育科学学院办公楼2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1</w:t>
      </w:r>
      <w:r>
        <w:rPr>
          <w:rFonts w:ascii="仿宋_GB2312" w:hAnsi="宋体" w:eastAsia="仿宋_GB2312"/>
          <w:color w:val="000000"/>
          <w:kern w:val="32"/>
          <w:sz w:val="28"/>
          <w:szCs w:val="28"/>
        </w:rPr>
        <w:t>3室；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二、活动安排</w:t>
      </w:r>
    </w:p>
    <w:p>
      <w:pPr>
        <w:tabs>
          <w:tab w:val="left" w:pos="2420"/>
        </w:tabs>
        <w:ind w:firstLine="560" w:firstLineChars="200"/>
        <w:jc w:val="left"/>
        <w:rPr>
          <w:rFonts w:eastAsia="仿宋_GB2312" w:cs="Tahoma"/>
          <w:color w:val="FF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（一）初赛：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2020年11月2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日</w:t>
      </w:r>
    </w:p>
    <w:p>
      <w:pPr>
        <w:tabs>
          <w:tab w:val="left" w:pos="2420"/>
        </w:tabs>
        <w:ind w:firstLine="840" w:firstLineChars="300"/>
        <w:jc w:val="left"/>
        <w:rPr>
          <w:rFonts w:ascii="仿宋" w:hAnsi="仿宋" w:eastAsia="仿宋" w:cs="仿宋"/>
          <w:color w:val="000000"/>
          <w:kern w:val="3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32"/>
          <w:sz w:val="28"/>
          <w:szCs w:val="28"/>
        </w:rPr>
        <w:t>教育科学学院楼211教室举行，由教育科学学院团委书记、学生会担任评审；</w:t>
      </w:r>
    </w:p>
    <w:p>
      <w:pPr>
        <w:tabs>
          <w:tab w:val="left" w:pos="2420"/>
        </w:tabs>
        <w:ind w:firstLine="560" w:firstLineChars="200"/>
        <w:jc w:val="left"/>
        <w:rPr>
          <w:rFonts w:eastAsia="仿宋_GB2312"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（二）复赛：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2020年11月28日</w:t>
      </w:r>
    </w:p>
    <w:p>
      <w:pPr>
        <w:tabs>
          <w:tab w:val="left" w:pos="2420"/>
        </w:tabs>
        <w:ind w:firstLine="560" w:firstLineChars="20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 xml:space="preserve"> 文科楼教室，由教育科学学院学生会邀请评审团老师进行审核；</w:t>
      </w:r>
    </w:p>
    <w:p>
      <w:pPr>
        <w:tabs>
          <w:tab w:val="left" w:pos="2420"/>
        </w:tabs>
        <w:ind w:firstLine="560" w:firstLineChars="200"/>
        <w:jc w:val="left"/>
        <w:rPr>
          <w:rFonts w:eastAsia="仿宋_GB2312"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（三）决赛：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2020年12月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</w:rPr>
        <w:t>日</w:t>
      </w:r>
    </w:p>
    <w:p>
      <w:pPr>
        <w:tabs>
          <w:tab w:val="left" w:pos="2420"/>
        </w:tabs>
        <w:ind w:firstLine="560" w:firstLineChars="20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 xml:space="preserve"> 文科楼三楼报告厅，由山西大学团委与教育科学学院分团委邀请评审团进行评审。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三、演讲主题</w:t>
      </w:r>
    </w:p>
    <w:p>
      <w:pPr>
        <w:tabs>
          <w:tab w:val="left" w:pos="2420"/>
        </w:tabs>
        <w:ind w:firstLine="560" w:firstLineChars="20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 w:cs="Tahoma"/>
          <w:color w:val="000000"/>
          <w:kern w:val="32"/>
          <w:sz w:val="28"/>
          <w:szCs w:val="32"/>
        </w:rPr>
        <w:t>主题</w:t>
      </w:r>
      <w:r>
        <w:rPr>
          <w:rFonts w:hint="eastAsia" w:ascii="仿宋_GB2312" w:hAnsi="宋体" w:eastAsia="仿宋_GB2312" w:cs="Tahoma"/>
          <w:color w:val="000000"/>
          <w:kern w:val="32"/>
          <w:sz w:val="28"/>
          <w:szCs w:val="32"/>
        </w:rPr>
        <w:t>不限</w:t>
      </w:r>
      <w:r>
        <w:rPr>
          <w:rFonts w:ascii="仿宋_GB2312" w:hAnsi="宋体" w:eastAsia="仿宋_GB2312" w:cs="Tahoma"/>
          <w:color w:val="000000"/>
          <w:kern w:val="32"/>
          <w:sz w:val="28"/>
          <w:szCs w:val="32"/>
        </w:rPr>
        <w:t>，主要表现出</w:t>
      </w:r>
      <w:r>
        <w:rPr>
          <w:rFonts w:hint="eastAsia" w:ascii="仿宋_GB2312" w:hAnsi="宋体" w:eastAsia="仿宋_GB2312" w:cs="Tahoma"/>
          <w:color w:val="000000"/>
          <w:kern w:val="32"/>
          <w:sz w:val="28"/>
          <w:szCs w:val="32"/>
        </w:rPr>
        <w:t>青年力量，彰显出当代青年自强不息，锐意进取的风采，</w:t>
      </w:r>
      <w:r>
        <w:rPr>
          <w:rFonts w:ascii="仿宋_GB2312" w:hAnsi="宋体" w:eastAsia="仿宋_GB2312" w:cs="Tahoma"/>
          <w:color w:val="000000"/>
          <w:kern w:val="32"/>
          <w:sz w:val="28"/>
          <w:szCs w:val="32"/>
        </w:rPr>
        <w:t>同时不可偏离社会主义核心价值观思想。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四、奖项设置</w:t>
      </w:r>
    </w:p>
    <w:p>
      <w:pPr>
        <w:tabs>
          <w:tab w:val="left" w:pos="2420"/>
        </w:tabs>
        <w:ind w:firstLine="58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一等奖一名：荣誉证书及奖牌</w:t>
      </w:r>
    </w:p>
    <w:p>
      <w:pPr>
        <w:tabs>
          <w:tab w:val="left" w:pos="2420"/>
        </w:tabs>
        <w:ind w:firstLine="580"/>
        <w:jc w:val="left"/>
        <w:rPr>
          <w:rFonts w:cs="Tahoma"/>
          <w:color w:val="000000"/>
          <w:kern w:val="32"/>
          <w:szCs w:val="24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二等奖二名：荣誉证书及奖牌</w:t>
      </w:r>
    </w:p>
    <w:p>
      <w:pPr>
        <w:tabs>
          <w:tab w:val="left" w:pos="2420"/>
        </w:tabs>
        <w:ind w:firstLine="580"/>
        <w:jc w:val="left"/>
        <w:rPr>
          <w:rFonts w:ascii="仿宋_GB2312" w:hAnsi="宋体" w:eastAsia="仿宋_GB2312"/>
          <w:color w:val="000000"/>
          <w:kern w:val="32"/>
          <w:sz w:val="28"/>
          <w:szCs w:val="28"/>
        </w:rPr>
      </w:pPr>
      <w:r>
        <w:rPr>
          <w:rFonts w:ascii="仿宋_GB2312" w:hAnsi="宋体" w:eastAsia="仿宋_GB2312"/>
          <w:color w:val="000000"/>
          <w:kern w:val="32"/>
          <w:sz w:val="28"/>
          <w:szCs w:val="28"/>
        </w:rPr>
        <w:t>三等奖三名：荣誉证书及奖牌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五、参赛须知</w:t>
      </w:r>
    </w:p>
    <w:p>
      <w:pPr>
        <w:ind w:firstLine="560" w:firstLineChars="200"/>
        <w:rPr>
          <w:color w:val="000000"/>
          <w:szCs w:val="24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1.参赛选手可以自备所需外界条件如PPT、音乐、视频、道具等，赛前可将所需道具及参赛过程中其他形式表演提前告知工作人员，保证节目效果的最优化。</w:t>
      </w:r>
    </w:p>
    <w:p>
      <w:pPr>
        <w:tabs>
          <w:tab w:val="left" w:pos="2420"/>
        </w:tabs>
        <w:ind w:firstLine="580"/>
        <w:jc w:val="left"/>
        <w:rPr>
          <w:rFonts w:ascii="仿宋_GB2312" w:hAnsi="仿宋" w:eastAsia="仿宋_GB2312" w:cs="Tahoma"/>
          <w:color w:val="000000"/>
          <w:kern w:val="32"/>
          <w:sz w:val="28"/>
          <w:szCs w:val="28"/>
        </w:rPr>
      </w:pPr>
      <w:r>
        <w:rPr>
          <w:rFonts w:ascii="仿宋_GB2312" w:hAnsi="仿宋" w:eastAsia="仿宋_GB2312" w:cs="Tahoma"/>
          <w:color w:val="000000"/>
          <w:kern w:val="32"/>
          <w:sz w:val="28"/>
          <w:szCs w:val="28"/>
        </w:rPr>
        <w:t>2.参赛选手在选手正式演讲前可进行一段简短的自我介绍，内容</w:t>
      </w:r>
      <w:r>
        <w:rPr>
          <w:rFonts w:ascii="仿宋_GB2312" w:hAnsi="仿宋" w:eastAsia="仿宋_GB2312"/>
          <w:sz w:val="28"/>
          <w:szCs w:val="28"/>
        </w:rPr>
        <w:t>可为姓名、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学院</w:t>
      </w:r>
      <w:r>
        <w:rPr>
          <w:rFonts w:ascii="仿宋_GB2312" w:hAnsi="仿宋" w:eastAsia="仿宋_GB2312"/>
          <w:sz w:val="28"/>
          <w:szCs w:val="28"/>
        </w:rPr>
        <w:t>及演说主题。</w:t>
      </w:r>
    </w:p>
    <w:p>
      <w:pPr>
        <w:pStyle w:val="9"/>
        <w:ind w:firstLine="560"/>
      </w:pPr>
      <w:r>
        <w:rPr>
          <w:rFonts w:ascii="仿宋_GB2312" w:hAnsi="仿宋" w:eastAsia="仿宋_GB2312"/>
          <w:sz w:val="28"/>
          <w:szCs w:val="28"/>
        </w:rPr>
        <w:t>3.选手在演讲时可有适当的肢体动作使朗读富有表现力。</w:t>
      </w:r>
    </w:p>
    <w:p>
      <w:pPr>
        <w:pStyle w:val="9"/>
        <w:ind w:firstLine="560"/>
      </w:pPr>
      <w:r>
        <w:rPr>
          <w:rFonts w:ascii="仿宋_GB2312" w:hAnsi="仿宋" w:eastAsia="仿宋_GB2312"/>
          <w:sz w:val="28"/>
          <w:szCs w:val="28"/>
        </w:rPr>
        <w:t>4.选手演讲过程中的其他形式表演时长应合理控制，不可出现其他形式表演印象大过选手演讲印象，喧宾夺主的情况。</w:t>
      </w:r>
    </w:p>
    <w:p>
      <w:pPr>
        <w:pStyle w:val="9"/>
        <w:ind w:firstLine="560"/>
      </w:pPr>
      <w:r>
        <w:rPr>
          <w:rFonts w:ascii="仿宋_GB2312" w:hAnsi="仿宋" w:eastAsia="仿宋_GB2312"/>
          <w:sz w:val="28"/>
          <w:szCs w:val="28"/>
        </w:rPr>
        <w:t>5.复赛之后第二天（</w:t>
      </w:r>
      <w:r>
        <w:rPr>
          <w:rFonts w:hint="eastAsia" w:ascii="仿宋_GB2312" w:hAnsi="仿宋" w:eastAsia="仿宋_GB2312"/>
          <w:sz w:val="28"/>
          <w:szCs w:val="28"/>
        </w:rPr>
        <w:t>11月29日</w:t>
      </w:r>
      <w:r>
        <w:rPr>
          <w:rFonts w:ascii="仿宋_GB2312" w:hAnsi="仿宋" w:eastAsia="仿宋_GB2312"/>
          <w:sz w:val="28"/>
          <w:szCs w:val="28"/>
        </w:rPr>
        <w:t>），如选手需要，可由承办方与乐器、舞蹈类社团联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系，达成社团与演讲人员的合作，配合演出，呈现更好的演出效果。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、评分细则</w:t>
      </w:r>
    </w:p>
    <w:p>
      <w:pPr>
        <w:widowControl/>
        <w:jc w:val="left"/>
        <w:rPr>
          <w:rFonts w:ascii="Cambria" w:hAnsi="Cambria" w:eastAsia="黑体"/>
          <w:b/>
          <w:bCs/>
          <w:color w:val="000000"/>
          <w:sz w:val="28"/>
          <w:szCs w:val="32"/>
        </w:rPr>
      </w:pPr>
      <w:r>
        <w:rPr>
          <w:rFonts w:ascii="仿宋_GB2312" w:hAnsi="Times New Roman" w:eastAsia="仿宋_GB2312" w:cs="Tahoma"/>
          <w:b/>
          <w:bCs/>
          <w:color w:val="000000"/>
          <w:kern w:val="32"/>
          <w:sz w:val="30"/>
          <w:szCs w:val="30"/>
        </w:rPr>
        <w:t>（一）演讲评分规则</w:t>
      </w:r>
    </w:p>
    <w:p>
      <w:pPr>
        <w:ind w:firstLine="420" w:firstLineChars="1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1.选手最终得分为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各位</w:t>
      </w:r>
      <w:r>
        <w:rPr>
          <w:rFonts w:ascii="仿宋_GB2312" w:hAnsi="仿宋" w:eastAsia="仿宋_GB2312"/>
          <w:color w:val="000000"/>
          <w:sz w:val="28"/>
          <w:szCs w:val="28"/>
        </w:rPr>
        <w:t>评委老师打分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的（去掉最高分与最低分）平均分。</w:t>
      </w:r>
    </w:p>
    <w:p>
      <w:pPr>
        <w:ind w:firstLine="420" w:firstLineChars="1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2.评委老师为每位参赛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选手</w:t>
      </w:r>
      <w:r>
        <w:rPr>
          <w:rFonts w:ascii="仿宋_GB2312" w:hAnsi="仿宋" w:eastAsia="仿宋_GB2312"/>
          <w:color w:val="000000"/>
          <w:sz w:val="28"/>
          <w:szCs w:val="28"/>
        </w:rPr>
        <w:t>打分满分为100分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pStyle w:val="10"/>
      </w:pPr>
      <w:r>
        <w:rPr>
          <w:rFonts w:ascii="仿宋_GB2312" w:hAnsi="Times New Roman" w:eastAsia="仿宋_GB2312" w:cs="Tahoma"/>
          <w:kern w:val="32"/>
          <w:sz w:val="30"/>
          <w:szCs w:val="30"/>
        </w:rPr>
        <w:t>（二）评分表</w:t>
      </w:r>
    </w:p>
    <w:tbl>
      <w:tblPr>
        <w:tblStyle w:val="5"/>
        <w:tblW w:w="0" w:type="auto"/>
        <w:tblInd w:w="-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329"/>
        <w:gridCol w:w="4243"/>
        <w:gridCol w:w="1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细则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  <w:p>
            <w:pPr>
              <w:ind w:firstLine="560" w:firstLineChars="20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（40分）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主题</w:t>
            </w:r>
          </w:p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（15分）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主题明确、深刻；观点正确，鲜明；见解独到。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材料</w:t>
            </w:r>
          </w:p>
          <w:p>
            <w:pPr>
              <w:ind w:firstLine="140" w:firstLineChars="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（15分）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材料真实、典型新颖、反映客观事实、具有普遍意义、符合社会主义核心价值观。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结构</w:t>
            </w:r>
          </w:p>
          <w:p>
            <w:pPr>
              <w:ind w:firstLine="140" w:firstLineChars="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结构完整合理，层次分明，论点论据具有逻辑性，构思巧妙，引人入胜。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表达</w:t>
            </w:r>
          </w:p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（60分）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语音</w:t>
            </w:r>
          </w:p>
          <w:p>
            <w:pPr>
              <w:ind w:firstLine="140" w:firstLineChars="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语音规范20分，较规范17分，不够规范14分，最低10分。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感染力</w:t>
            </w:r>
          </w:p>
          <w:p>
            <w:pPr>
              <w:ind w:firstLine="140" w:firstLineChars="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演讲内容，表演状态，与观众互动带动性强，激起观众共鸣，活力，感染力强。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熟练程度</w:t>
            </w:r>
          </w:p>
          <w:p>
            <w:pPr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因不熟练停顿依次减3分。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态势语</w:t>
            </w:r>
          </w:p>
          <w:p>
            <w:pPr>
              <w:ind w:firstLine="140" w:firstLineChars="50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自然得体，端庄大方，突发状况处理自然得体。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/>
                <w:color w:val="000000"/>
                <w:kern w:val="32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/>
                <w:color w:val="000000"/>
                <w:kern w:val="32"/>
                <w:szCs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DE"/>
    <w:rsid w:val="00372BC9"/>
    <w:rsid w:val="00C101DE"/>
    <w:rsid w:val="00C40A7F"/>
    <w:rsid w:val="04232BD0"/>
    <w:rsid w:val="1F3E10DF"/>
    <w:rsid w:val="1FFA08B9"/>
    <w:rsid w:val="355D08EC"/>
    <w:rsid w:val="399736D4"/>
    <w:rsid w:val="3EAB5F96"/>
    <w:rsid w:val="3EAD4550"/>
    <w:rsid w:val="5F3455BA"/>
    <w:rsid w:val="5FD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&quot;列出段落2&quot;"/>
    <w:basedOn w:val="1"/>
    <w:qFormat/>
    <w:uiPriority w:val="0"/>
    <w:pPr>
      <w:ind w:firstLine="420" w:firstLineChars="200"/>
    </w:pPr>
    <w:rPr>
      <w:color w:val="000000"/>
      <w:szCs w:val="24"/>
    </w:rPr>
  </w:style>
  <w:style w:type="paragraph" w:customStyle="1" w:styleId="10">
    <w:name w:val="&quot;策划标题&quot;"/>
    <w:qFormat/>
    <w:uiPriority w:val="0"/>
    <w:rPr>
      <w:rFonts w:ascii="Cambria" w:hAnsi="Cambria" w:eastAsia="黑体" w:cs="宋体"/>
      <w:b/>
      <w:bCs/>
      <w:color w:val="000000"/>
      <w:kern w:val="2"/>
      <w:sz w:val="28"/>
      <w:szCs w:val="32"/>
      <w:lang w:val="en-US" w:eastAsia="zh-CN" w:bidi="ar-SA"/>
    </w:rPr>
  </w:style>
  <w:style w:type="character" w:customStyle="1" w:styleId="11">
    <w:name w:val="标题 Char"/>
    <w:basedOn w:val="6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1021</Characters>
  <Lines>8</Lines>
  <Paragraphs>2</Paragraphs>
  <TotalTime>25</TotalTime>
  <ScaleCrop>false</ScaleCrop>
  <LinksUpToDate>false</LinksUpToDate>
  <CharactersWithSpaces>1198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2020-11-04T08:11:00Z</dcterms:created>
  <dc:creator>acer</dc:creator>
  <cp:lastModifiedBy>eirn</cp:lastModifiedBy>
  <dcterms:modified xsi:type="dcterms:W3CDTF">2020-11-11T03:32:32Z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