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eastAsia" w:ascii="微软雅黑" w:hAnsi="微软雅黑" w:eastAsia="微软雅黑" w:cs="微软雅黑"/>
          <w:b/>
          <w:color w:val="000000"/>
          <w:sz w:val="28"/>
          <w:szCs w:val="28"/>
        </w:rPr>
      </w:pPr>
      <w:r>
        <w:rPr>
          <w:rFonts w:hint="eastAsia" w:ascii="微软雅黑" w:hAnsi="微软雅黑" w:eastAsia="微软雅黑" w:cs="微软雅黑"/>
          <w:b/>
          <w:color w:val="000000"/>
          <w:sz w:val="28"/>
          <w:szCs w:val="28"/>
        </w:rPr>
        <w:t xml:space="preserve"> “青年红色筑梦之旅”赛道方案</w:t>
      </w:r>
    </w:p>
    <w:p>
      <w:pPr>
        <w:snapToGrid w:val="0"/>
        <w:spacing w:line="5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为深入落实习近平总书记给中国“互联网+”大学生创新创业大赛“青年红色筑梦之旅”大学生重要回信精神，教育部将在更大范围、更高层次、更深程度上开展“青年红色筑梦之旅”活动，引导更多青年学生扎根中国大地了解国情民情，在创新创业中增长智慧才干，在艰苦奋斗中锤炼意志品质，为中国特色社会主义事业培养有理想、有本领、有担当的热血青春力量。活动方案如下。</w:t>
      </w:r>
    </w:p>
    <w:p>
      <w:pPr>
        <w:snapToGrid w:val="0"/>
        <w:spacing w:line="540" w:lineRule="exact"/>
        <w:ind w:firstLine="562" w:firstLineChars="200"/>
        <w:rPr>
          <w:rFonts w:ascii="仿宋" w:hAnsi="仿宋" w:eastAsia="仿宋" w:cs="仿宋"/>
          <w:b/>
          <w:bCs/>
          <w:color w:val="000000"/>
          <w:sz w:val="28"/>
          <w:szCs w:val="28"/>
        </w:rPr>
      </w:pPr>
      <w:r>
        <w:rPr>
          <w:rFonts w:hint="eastAsia" w:ascii="仿宋" w:hAnsi="仿宋" w:eastAsia="仿宋" w:cs="仿宋"/>
          <w:b/>
          <w:bCs/>
          <w:color w:val="000000"/>
          <w:sz w:val="28"/>
          <w:szCs w:val="28"/>
        </w:rPr>
        <w:t>一、活动主题</w:t>
      </w:r>
    </w:p>
    <w:p>
      <w:pPr>
        <w:snapToGrid w:val="0"/>
        <w:spacing w:line="5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红色筑梦点亮人生  青春领航振兴中华</w:t>
      </w:r>
    </w:p>
    <w:p>
      <w:pPr>
        <w:snapToGrid w:val="0"/>
        <w:spacing w:line="540" w:lineRule="exact"/>
        <w:ind w:firstLine="562" w:firstLineChars="200"/>
        <w:rPr>
          <w:rFonts w:ascii="仿宋" w:hAnsi="仿宋" w:eastAsia="仿宋" w:cs="仿宋"/>
          <w:b/>
          <w:bCs/>
          <w:color w:val="000000"/>
          <w:sz w:val="28"/>
          <w:szCs w:val="28"/>
        </w:rPr>
      </w:pPr>
      <w:r>
        <w:rPr>
          <w:rFonts w:hint="eastAsia" w:ascii="仿宋" w:hAnsi="仿宋" w:eastAsia="仿宋" w:cs="仿宋"/>
          <w:b/>
          <w:bCs/>
          <w:color w:val="000000"/>
          <w:sz w:val="28"/>
          <w:szCs w:val="28"/>
        </w:rPr>
        <w:t>二、主要目标</w:t>
      </w:r>
    </w:p>
    <w:p>
      <w:pPr>
        <w:snapToGrid w:val="0"/>
        <w:spacing w:line="540" w:lineRule="exact"/>
        <w:ind w:firstLine="495" w:firstLineChars="177"/>
        <w:rPr>
          <w:rFonts w:ascii="仿宋" w:hAnsi="仿宋" w:eastAsia="仿宋" w:cs="仿宋"/>
          <w:color w:val="000000"/>
          <w:sz w:val="28"/>
          <w:szCs w:val="28"/>
        </w:rPr>
      </w:pPr>
      <w:r>
        <w:rPr>
          <w:rFonts w:hint="eastAsia" w:ascii="仿宋" w:hAnsi="仿宋" w:eastAsia="仿宋" w:cs="仿宋"/>
          <w:color w:val="000000"/>
          <w:sz w:val="28"/>
          <w:szCs w:val="28"/>
        </w:rPr>
        <w:t>全面贯彻落实习近平总书记重要回信精神，持续推动形成“延安一把火，全国一片红”的发展态势，弘扬开天辟地的“红船精神”，立足红色传承、立足实际需求、立足强国建设，组织百万名大学生参与“青年红色筑梦之旅”活动，深入革命老区、贫困地区和城乡社区，接受思想洗礼，助力精准扶贫、乡村振兴和社区治理，用创新创业的生动实践汇聚起民族复兴的磅礴力量。</w:t>
      </w:r>
    </w:p>
    <w:p>
      <w:pPr>
        <w:snapToGrid w:val="0"/>
        <w:spacing w:line="540" w:lineRule="exact"/>
        <w:ind w:firstLine="562" w:firstLineChars="200"/>
        <w:rPr>
          <w:rFonts w:ascii="仿宋" w:hAnsi="仿宋" w:eastAsia="仿宋" w:cs="仿宋"/>
          <w:b/>
          <w:bCs/>
          <w:color w:val="000000"/>
          <w:sz w:val="28"/>
          <w:szCs w:val="28"/>
        </w:rPr>
      </w:pPr>
      <w:r>
        <w:rPr>
          <w:rFonts w:hint="eastAsia" w:ascii="仿宋" w:hAnsi="仿宋" w:eastAsia="仿宋" w:cs="仿宋"/>
          <w:b/>
          <w:bCs/>
          <w:color w:val="000000"/>
          <w:sz w:val="28"/>
          <w:szCs w:val="28"/>
        </w:rPr>
        <w:t>三、“青年红色筑梦之旅”活动安排</w:t>
      </w:r>
    </w:p>
    <w:p>
      <w:pPr>
        <w:snapToGrid w:val="0"/>
        <w:spacing w:line="5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组织理工、农林、医学、师范、法律、人文社科等各专业大学生以及企业家、投资人、社会工作者等，以“科技中国小分队”“健康中国小分队”“幸福中国小分队”“教育中国小分队”“法治中国小分队”“形象中国小分队”“政策宣讲小分队”或项目团队组团等形式，走进革命老区、贫困地区、城乡社区，从乡村振兴、精准扶贫、社区治理等多个方面开展帮扶工作，推动当地经济建设、政治建设、文化建设、社会建设、生态文明建设，为全面建成小康社会、加快推进社会主义现代化建设贡献智慧。</w:t>
      </w:r>
    </w:p>
    <w:p>
      <w:pPr>
        <w:snapToGrid w:val="0"/>
        <w:spacing w:line="5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参加“青年红色筑梦之旅”活动的项目，符合大赛参赛要求的，可自主选择参加大赛“青年红色筑梦之旅”赛道或其他赛道比赛。“青年红色筑梦之旅”赛道单列奖项、单独设置评审指标，突出项目的社会贡献和公益价值。</w:t>
      </w:r>
    </w:p>
    <w:p>
      <w:pPr>
        <w:snapToGrid w:val="0"/>
        <w:spacing w:line="560" w:lineRule="exact"/>
        <w:ind w:firstLine="562" w:firstLineChars="200"/>
        <w:rPr>
          <w:rFonts w:ascii="仿宋" w:hAnsi="仿宋" w:eastAsia="仿宋" w:cs="仿宋"/>
          <w:b/>
          <w:bCs/>
          <w:color w:val="000000"/>
          <w:sz w:val="28"/>
          <w:szCs w:val="28"/>
        </w:rPr>
      </w:pPr>
      <w:r>
        <w:rPr>
          <w:rFonts w:hint="eastAsia" w:ascii="仿宋" w:hAnsi="仿宋" w:eastAsia="仿宋" w:cs="仿宋"/>
          <w:b/>
          <w:bCs/>
          <w:color w:val="000000"/>
          <w:sz w:val="28"/>
          <w:szCs w:val="28"/>
        </w:rPr>
        <w:t>（一）参赛项目要求</w:t>
      </w:r>
    </w:p>
    <w:p>
      <w:pPr>
        <w:snapToGrid w:val="0"/>
        <w:spacing w:line="5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1.参加“青年红色筑梦之旅”赛道的项目要在推进革命老区、贫困地区、城乡社区经济社会发展等方面有创新性、实效性和可持续性。</w:t>
      </w:r>
    </w:p>
    <w:p>
      <w:pPr>
        <w:snapToGrid w:val="0"/>
        <w:spacing w:line="5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pPr>
        <w:snapToGrid w:val="0"/>
        <w:spacing w:line="5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参赛项目涉及他人知识产权的，报名时需提交完整的具有法律效力的所有人书面授权许可书、专利证书等；已完成工商登记注册的创业项目，报名时需提交营业执照及统一社会信用代码等相关复印件、单位概况、法定代表人情况、股权结构等。参赛项目可提供当前财务数据、已获投资情况、带动就业情况等相关证明材料。</w:t>
      </w:r>
      <w:r>
        <w:rPr>
          <w:rFonts w:hint="eastAsia" w:ascii="仿宋" w:hAnsi="仿宋" w:eastAsia="仿宋" w:cs="仿宋"/>
          <w:color w:val="000000"/>
          <w:sz w:val="28"/>
          <w:szCs w:val="28"/>
        </w:rPr>
        <w:br w:type="textWrapping"/>
      </w:r>
      <w:r>
        <w:rPr>
          <w:rFonts w:hint="default" w:ascii="仿宋" w:hAnsi="仿宋" w:eastAsia="仿宋" w:cs="仿宋"/>
          <w:color w:val="000000"/>
          <w:sz w:val="28"/>
          <w:szCs w:val="28"/>
        </w:rPr>
        <w:tab/>
      </w:r>
      <w:r>
        <w:rPr>
          <w:rFonts w:hint="eastAsia" w:ascii="仿宋" w:hAnsi="仿宋" w:eastAsia="仿宋" w:cs="仿宋"/>
          <w:color w:val="000000"/>
          <w:sz w:val="28"/>
          <w:szCs w:val="28"/>
        </w:rPr>
        <w:t>4.以团队为单位报名参赛。每个团队的参赛成员</w:t>
      </w:r>
      <w:r>
        <w:rPr>
          <w:rFonts w:hint="eastAsia" w:ascii="仿宋" w:hAnsi="仿宋" w:eastAsia="仿宋" w:cs="仿宋"/>
          <w:color w:val="000000"/>
          <w:sz w:val="28"/>
          <w:szCs w:val="28"/>
          <w:lang w:val="en-US" w:eastAsia="zh-Hans"/>
        </w:rPr>
        <w:t>不多于</w:t>
      </w:r>
      <w:r>
        <w:rPr>
          <w:rFonts w:hint="default" w:ascii="仿宋" w:hAnsi="仿宋" w:eastAsia="仿宋" w:cs="仿宋"/>
          <w:color w:val="000000"/>
          <w:sz w:val="28"/>
          <w:szCs w:val="28"/>
          <w:lang w:eastAsia="zh-Hans"/>
        </w:rPr>
        <w:t>5</w:t>
      </w:r>
      <w:r>
        <w:rPr>
          <w:rFonts w:hint="eastAsia" w:ascii="仿宋" w:hAnsi="仿宋" w:eastAsia="仿宋" w:cs="仿宋"/>
          <w:color w:val="000000"/>
          <w:sz w:val="28"/>
          <w:szCs w:val="28"/>
          <w:lang w:val="en-US" w:eastAsia="zh-Hans"/>
        </w:rPr>
        <w:t>人</w:t>
      </w:r>
      <w:r>
        <w:rPr>
          <w:rFonts w:hint="eastAsia" w:ascii="仿宋" w:hAnsi="仿宋" w:eastAsia="仿宋" w:cs="仿宋"/>
          <w:color w:val="000000"/>
          <w:sz w:val="28"/>
          <w:szCs w:val="28"/>
        </w:rPr>
        <w:t>，须为项目的实际成员。参赛团队所报参赛创业项目，须为本团队策划或经营的项目，不得借用他人项目参赛。</w:t>
      </w:r>
    </w:p>
    <w:p>
      <w:pPr>
        <w:snapToGrid w:val="0"/>
        <w:spacing w:line="560" w:lineRule="exact"/>
        <w:ind w:firstLine="562" w:firstLineChars="200"/>
        <w:rPr>
          <w:rFonts w:ascii="仿宋" w:hAnsi="仿宋" w:eastAsia="仿宋" w:cs="仿宋"/>
          <w:b/>
          <w:bCs/>
          <w:color w:val="000000"/>
          <w:sz w:val="28"/>
          <w:szCs w:val="28"/>
        </w:rPr>
      </w:pPr>
      <w:r>
        <w:rPr>
          <w:rFonts w:hint="eastAsia" w:ascii="仿宋" w:hAnsi="仿宋" w:eastAsia="仿宋" w:cs="仿宋"/>
          <w:b/>
          <w:bCs/>
          <w:color w:val="000000"/>
          <w:sz w:val="28"/>
          <w:szCs w:val="28"/>
        </w:rPr>
        <w:t>（二）参赛组别和对象</w:t>
      </w:r>
    </w:p>
    <w:p>
      <w:pPr>
        <w:snapToGrid w:val="0"/>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参加大赛“青年红色筑梦之旅”赛道的项目须为参加“青年红色筑梦之旅”活动的项目。根据项目性质和特点，分为公益组、商业组。</w:t>
      </w:r>
    </w:p>
    <w:p>
      <w:pPr>
        <w:snapToGrid w:val="0"/>
        <w:spacing w:line="560" w:lineRule="exact"/>
        <w:ind w:firstLine="554" w:firstLineChars="200"/>
        <w:rPr>
          <w:rFonts w:ascii="仿宋" w:hAnsi="仿宋" w:eastAsia="仿宋" w:cs="仿宋"/>
          <w:color w:val="000000"/>
          <w:spacing w:val="-2"/>
          <w:sz w:val="28"/>
          <w:szCs w:val="28"/>
        </w:rPr>
      </w:pPr>
      <w:r>
        <w:rPr>
          <w:rFonts w:hint="eastAsia" w:ascii="仿宋" w:hAnsi="仿宋" w:eastAsia="仿宋" w:cs="仿宋"/>
          <w:b/>
          <w:bCs/>
          <w:color w:val="000000"/>
          <w:spacing w:val="-2"/>
          <w:sz w:val="28"/>
          <w:szCs w:val="28"/>
        </w:rPr>
        <w:t>1.公益组。</w:t>
      </w:r>
      <w:r>
        <w:rPr>
          <w:rFonts w:hint="eastAsia" w:ascii="仿宋" w:hAnsi="仿宋" w:eastAsia="仿宋" w:cs="仿宋"/>
          <w:color w:val="000000"/>
          <w:spacing w:val="-2"/>
          <w:sz w:val="28"/>
          <w:szCs w:val="28"/>
        </w:rPr>
        <w:t>参赛项目以社会价值为导向，在公益服务领域具有较好的创意、产品或服务模式的创业计划和实践</w:t>
      </w:r>
      <w:r>
        <w:rPr>
          <w:rFonts w:hint="default" w:ascii="仿宋" w:hAnsi="仿宋" w:eastAsia="仿宋" w:cs="仿宋"/>
          <w:color w:val="000000"/>
          <w:spacing w:val="-2"/>
          <w:sz w:val="28"/>
          <w:szCs w:val="28"/>
        </w:rPr>
        <w:t>。</w:t>
      </w:r>
      <w:bookmarkStart w:id="0" w:name="_GoBack"/>
      <w:bookmarkEnd w:id="0"/>
    </w:p>
    <w:p>
      <w:pPr>
        <w:snapToGrid w:val="0"/>
        <w:spacing w:line="560" w:lineRule="exact"/>
        <w:ind w:firstLine="562" w:firstLineChars="200"/>
        <w:rPr>
          <w:rFonts w:ascii="仿宋" w:hAnsi="仿宋" w:eastAsia="仿宋" w:cs="仿宋"/>
          <w:color w:val="000000"/>
          <w:sz w:val="28"/>
          <w:szCs w:val="28"/>
        </w:rPr>
      </w:pPr>
      <w:r>
        <w:rPr>
          <w:rFonts w:hint="eastAsia" w:ascii="仿宋" w:hAnsi="仿宋" w:eastAsia="仿宋" w:cs="仿宋"/>
          <w:b/>
          <w:bCs/>
          <w:color w:val="000000"/>
          <w:sz w:val="28"/>
          <w:szCs w:val="28"/>
        </w:rPr>
        <w:t>2.商业组。</w:t>
      </w:r>
      <w:r>
        <w:rPr>
          <w:rFonts w:hint="eastAsia" w:ascii="仿宋" w:hAnsi="仿宋" w:eastAsia="仿宋" w:cs="仿宋"/>
          <w:color w:val="000000"/>
          <w:sz w:val="28"/>
          <w:szCs w:val="28"/>
        </w:rPr>
        <w:t>参赛项目以商业手段解决农业农村和城乡社区发展的</w:t>
      </w:r>
      <w:r>
        <w:fldChar w:fldCharType="begin"/>
      </w:r>
      <w:r>
        <w:instrText xml:space="preserve"> HYPERLINK "https://wiki.mbalib.com/wiki/%E7%A4%BE%E4%BC%9A%E9%97%AE%E9%A2%98" \o "社会问题" </w:instrText>
      </w:r>
      <w:r>
        <w:fldChar w:fldCharType="separate"/>
      </w:r>
      <w:r>
        <w:rPr>
          <w:rFonts w:hint="eastAsia" w:ascii="仿宋" w:hAnsi="仿宋" w:eastAsia="仿宋" w:cs="仿宋"/>
          <w:color w:val="000000"/>
          <w:sz w:val="28"/>
          <w:szCs w:val="28"/>
          <w:u w:val="single"/>
        </w:rPr>
        <w:t>痛点问题</w:t>
      </w:r>
      <w:r>
        <w:rPr>
          <w:rFonts w:hint="eastAsia" w:ascii="仿宋" w:hAnsi="仿宋" w:eastAsia="仿宋" w:cs="仿宋"/>
          <w:color w:val="000000"/>
          <w:sz w:val="28"/>
          <w:szCs w:val="28"/>
          <w:u w:val="single"/>
        </w:rPr>
        <w:fldChar w:fldCharType="end"/>
      </w:r>
      <w:r>
        <w:rPr>
          <w:rFonts w:hint="eastAsia" w:ascii="仿宋" w:hAnsi="仿宋" w:eastAsia="仿宋" w:cs="仿宋"/>
          <w:color w:val="000000"/>
          <w:sz w:val="28"/>
          <w:szCs w:val="28"/>
        </w:rPr>
        <w:t>、助力精准扶贫和乡村振兴，实现经济价值和社会价值的融合</w:t>
      </w:r>
      <w:r>
        <w:rPr>
          <w:rFonts w:hint="default" w:ascii="仿宋" w:hAnsi="仿宋" w:eastAsia="仿宋" w:cs="仿宋"/>
          <w:color w:val="000000"/>
          <w:sz w:val="28"/>
          <w:szCs w:val="28"/>
        </w:rPr>
        <w:t>。</w:t>
      </w:r>
    </w:p>
    <w:p>
      <w:pPr>
        <w:autoSpaceDE w:val="0"/>
        <w:autoSpaceDN w:val="0"/>
        <w:spacing w:before="32"/>
        <w:ind w:left="640" w:firstLine="1280" w:firstLineChars="400"/>
        <w:jc w:val="left"/>
        <w:rPr>
          <w:rFonts w:ascii="黑体" w:hAnsi="黑体" w:eastAsia="黑体" w:cs="黑体"/>
          <w:kern w:val="0"/>
          <w:sz w:val="32"/>
          <w:szCs w:val="32"/>
        </w:rPr>
      </w:pPr>
      <w:r>
        <w:rPr>
          <w:rFonts w:ascii="黑体" w:hAnsi="黑体" w:eastAsia="黑体" w:cs="黑体"/>
          <w:kern w:val="0"/>
          <w:sz w:val="32"/>
          <w:szCs w:val="32"/>
        </w:rPr>
        <w:t>青年红色筑梦之旅项目评审要点</w:t>
      </w:r>
    </w:p>
    <w:p>
      <w:pPr>
        <w:autoSpaceDE w:val="0"/>
        <w:autoSpaceDN w:val="0"/>
        <w:spacing w:before="149" w:after="21"/>
        <w:ind w:left="2240"/>
        <w:jc w:val="left"/>
        <w:rPr>
          <w:rFonts w:ascii="黑体" w:hAnsi="黑体" w:eastAsia="黑体" w:cs="黑体"/>
          <w:kern w:val="0"/>
          <w:sz w:val="32"/>
          <w:szCs w:val="32"/>
          <w:lang w:eastAsia="en-US"/>
        </w:rPr>
      </w:pPr>
      <w:r>
        <w:rPr>
          <w:rFonts w:ascii="黑体" w:hAnsi="黑体" w:eastAsia="黑体" w:cs="黑体"/>
          <w:kern w:val="0"/>
          <w:sz w:val="32"/>
          <w:szCs w:val="32"/>
          <w:lang w:eastAsia="en-US"/>
        </w:rPr>
        <w:t>（参考 2018 年评审规则）</w:t>
      </w:r>
    </w:p>
    <w:tbl>
      <w:tblPr>
        <w:tblStyle w:val="8"/>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5811"/>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555" w:type="dxa"/>
          </w:tcPr>
          <w:p>
            <w:pPr>
              <w:autoSpaceDE w:val="0"/>
              <w:autoSpaceDN w:val="0"/>
              <w:spacing w:before="85" w:line="374" w:lineRule="exact"/>
              <w:ind w:left="153" w:right="146"/>
              <w:jc w:val="center"/>
              <w:rPr>
                <w:rFonts w:ascii="仿宋" w:hAnsi="仿宋" w:eastAsia="仿宋" w:cs="仿宋"/>
                <w:b/>
                <w:kern w:val="0"/>
                <w:sz w:val="30"/>
                <w:lang w:eastAsia="en-US"/>
              </w:rPr>
            </w:pPr>
            <w:r>
              <w:rPr>
                <w:rFonts w:ascii="仿宋" w:hAnsi="仿宋" w:eastAsia="仿宋" w:cs="仿宋"/>
                <w:b/>
                <w:kern w:val="0"/>
                <w:sz w:val="30"/>
                <w:lang w:eastAsia="en-US"/>
              </w:rPr>
              <w:t>评审要点</w:t>
            </w:r>
          </w:p>
        </w:tc>
        <w:tc>
          <w:tcPr>
            <w:tcW w:w="5811" w:type="dxa"/>
          </w:tcPr>
          <w:p>
            <w:pPr>
              <w:autoSpaceDE w:val="0"/>
              <w:autoSpaceDN w:val="0"/>
              <w:spacing w:before="85" w:line="374" w:lineRule="exact"/>
              <w:ind w:left="2280" w:right="2276"/>
              <w:jc w:val="center"/>
              <w:rPr>
                <w:rFonts w:ascii="仿宋" w:hAnsi="仿宋" w:eastAsia="仿宋" w:cs="仿宋"/>
                <w:b/>
                <w:kern w:val="0"/>
                <w:sz w:val="30"/>
                <w:lang w:eastAsia="en-US"/>
              </w:rPr>
            </w:pPr>
            <w:r>
              <w:rPr>
                <w:rFonts w:ascii="仿宋" w:hAnsi="仿宋" w:eastAsia="仿宋" w:cs="仿宋"/>
                <w:b/>
                <w:kern w:val="0"/>
                <w:sz w:val="30"/>
                <w:lang w:eastAsia="en-US"/>
              </w:rPr>
              <w:t>评审内容</w:t>
            </w:r>
          </w:p>
        </w:tc>
        <w:tc>
          <w:tcPr>
            <w:tcW w:w="993" w:type="dxa"/>
          </w:tcPr>
          <w:p>
            <w:pPr>
              <w:autoSpaceDE w:val="0"/>
              <w:autoSpaceDN w:val="0"/>
              <w:spacing w:before="85" w:line="374" w:lineRule="exact"/>
              <w:ind w:left="172" w:right="168"/>
              <w:jc w:val="center"/>
              <w:rPr>
                <w:rFonts w:ascii="仿宋" w:hAnsi="仿宋" w:eastAsia="仿宋" w:cs="仿宋"/>
                <w:b/>
                <w:kern w:val="0"/>
                <w:sz w:val="30"/>
                <w:lang w:eastAsia="en-US"/>
              </w:rPr>
            </w:pPr>
            <w:r>
              <w:rPr>
                <w:rFonts w:ascii="仿宋" w:hAnsi="仿宋" w:eastAsia="仿宋" w:cs="仿宋"/>
                <w:b/>
                <w:kern w:val="0"/>
                <w:sz w:val="30"/>
                <w:lang w:eastAsia="en-US"/>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0" w:hRule="atLeast"/>
        </w:trPr>
        <w:tc>
          <w:tcPr>
            <w:tcW w:w="1555" w:type="dxa"/>
          </w:tcPr>
          <w:p>
            <w:pPr>
              <w:autoSpaceDE w:val="0"/>
              <w:autoSpaceDN w:val="0"/>
              <w:jc w:val="left"/>
              <w:rPr>
                <w:rFonts w:ascii="黑体" w:hAnsi="仿宋" w:eastAsia="仿宋" w:cs="仿宋"/>
                <w:kern w:val="0"/>
                <w:sz w:val="30"/>
                <w:lang w:eastAsia="en-US"/>
              </w:rPr>
            </w:pPr>
          </w:p>
          <w:p>
            <w:pPr>
              <w:autoSpaceDE w:val="0"/>
              <w:autoSpaceDN w:val="0"/>
              <w:spacing w:before="10"/>
              <w:jc w:val="left"/>
              <w:rPr>
                <w:rFonts w:ascii="黑体" w:hAnsi="仿宋" w:eastAsia="仿宋" w:cs="仿宋"/>
                <w:kern w:val="0"/>
                <w:sz w:val="32"/>
                <w:lang w:eastAsia="en-US"/>
              </w:rPr>
            </w:pPr>
          </w:p>
          <w:p>
            <w:pPr>
              <w:autoSpaceDE w:val="0"/>
              <w:autoSpaceDN w:val="0"/>
              <w:spacing w:before="1"/>
              <w:ind w:left="153" w:right="144"/>
              <w:jc w:val="center"/>
              <w:rPr>
                <w:rFonts w:ascii="仿宋" w:hAnsi="仿宋" w:eastAsia="仿宋" w:cs="仿宋"/>
                <w:kern w:val="0"/>
                <w:sz w:val="30"/>
                <w:lang w:eastAsia="en-US"/>
              </w:rPr>
            </w:pPr>
            <w:r>
              <w:rPr>
                <w:rFonts w:ascii="仿宋" w:hAnsi="仿宋" w:eastAsia="仿宋" w:cs="仿宋"/>
                <w:kern w:val="0"/>
                <w:sz w:val="30"/>
                <w:lang w:eastAsia="en-US"/>
              </w:rPr>
              <w:t>项目团队</w:t>
            </w:r>
          </w:p>
        </w:tc>
        <w:tc>
          <w:tcPr>
            <w:tcW w:w="5811" w:type="dxa"/>
          </w:tcPr>
          <w:p>
            <w:pPr>
              <w:autoSpaceDE w:val="0"/>
              <w:autoSpaceDN w:val="0"/>
              <w:spacing w:before="1" w:line="480" w:lineRule="exact"/>
              <w:ind w:left="107" w:right="94"/>
              <w:rPr>
                <w:rFonts w:ascii="仿宋" w:hAnsi="仿宋" w:eastAsia="仿宋" w:cs="仿宋"/>
                <w:kern w:val="0"/>
                <w:sz w:val="28"/>
                <w:lang w:eastAsia="zh-CN"/>
              </w:rPr>
            </w:pPr>
            <w:r>
              <w:rPr>
                <w:rFonts w:ascii="仿宋" w:hAnsi="仿宋" w:eastAsia="仿宋" w:cs="仿宋"/>
                <w:kern w:val="0"/>
                <w:sz w:val="28"/>
                <w:lang w:eastAsia="zh-CN"/>
              </w:rPr>
              <w:t>考察项目团队成员的基本素质和业务能力；奉献意愿和价值观；教育背景与相关工作活动经验；团队或公司组织构架与分工协作的合理性；团队权益结构或公司股权的合理性。</w:t>
            </w:r>
          </w:p>
        </w:tc>
        <w:tc>
          <w:tcPr>
            <w:tcW w:w="993" w:type="dxa"/>
          </w:tcPr>
          <w:p>
            <w:pPr>
              <w:autoSpaceDE w:val="0"/>
              <w:autoSpaceDN w:val="0"/>
              <w:jc w:val="left"/>
              <w:rPr>
                <w:rFonts w:ascii="黑体" w:hAnsi="仿宋" w:eastAsia="仿宋" w:cs="仿宋"/>
                <w:kern w:val="0"/>
                <w:sz w:val="30"/>
                <w:lang w:eastAsia="zh-CN"/>
              </w:rPr>
            </w:pPr>
          </w:p>
          <w:p>
            <w:pPr>
              <w:autoSpaceDE w:val="0"/>
              <w:autoSpaceDN w:val="0"/>
              <w:spacing w:before="10"/>
              <w:jc w:val="left"/>
              <w:rPr>
                <w:rFonts w:ascii="黑体" w:hAnsi="仿宋" w:eastAsia="仿宋" w:cs="仿宋"/>
                <w:kern w:val="0"/>
                <w:sz w:val="32"/>
                <w:lang w:eastAsia="zh-CN"/>
              </w:rPr>
            </w:pPr>
          </w:p>
          <w:p>
            <w:pPr>
              <w:autoSpaceDE w:val="0"/>
              <w:autoSpaceDN w:val="0"/>
              <w:spacing w:before="1"/>
              <w:ind w:left="172" w:right="164"/>
              <w:jc w:val="center"/>
              <w:rPr>
                <w:rFonts w:ascii="仿宋" w:hAnsi="仿宋" w:eastAsia="仿宋" w:cs="仿宋"/>
                <w:kern w:val="0"/>
                <w:sz w:val="30"/>
                <w:lang w:eastAsia="en-US"/>
              </w:rPr>
            </w:pPr>
            <w:r>
              <w:rPr>
                <w:rFonts w:ascii="仿宋" w:hAnsi="仿宋" w:eastAsia="仿宋" w:cs="仿宋"/>
                <w:kern w:val="0"/>
                <w:sz w:val="30"/>
                <w:lang w:eastAsia="en-US"/>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9" w:hRule="atLeast"/>
        </w:trPr>
        <w:tc>
          <w:tcPr>
            <w:tcW w:w="1555" w:type="dxa"/>
          </w:tcPr>
          <w:p>
            <w:pPr>
              <w:autoSpaceDE w:val="0"/>
              <w:autoSpaceDN w:val="0"/>
              <w:jc w:val="left"/>
              <w:rPr>
                <w:rFonts w:ascii="黑体" w:hAnsi="仿宋" w:eastAsia="仿宋" w:cs="仿宋"/>
                <w:kern w:val="0"/>
                <w:sz w:val="30"/>
                <w:lang w:eastAsia="en-US"/>
              </w:rPr>
            </w:pPr>
          </w:p>
          <w:p>
            <w:pPr>
              <w:autoSpaceDE w:val="0"/>
              <w:autoSpaceDN w:val="0"/>
              <w:jc w:val="left"/>
              <w:rPr>
                <w:rFonts w:ascii="黑体" w:hAnsi="仿宋" w:eastAsia="仿宋" w:cs="仿宋"/>
                <w:kern w:val="0"/>
                <w:sz w:val="30"/>
                <w:lang w:eastAsia="en-US"/>
              </w:rPr>
            </w:pPr>
          </w:p>
          <w:p>
            <w:pPr>
              <w:autoSpaceDE w:val="0"/>
              <w:autoSpaceDN w:val="0"/>
              <w:spacing w:before="5"/>
              <w:jc w:val="left"/>
              <w:rPr>
                <w:rFonts w:ascii="黑体" w:hAnsi="仿宋" w:eastAsia="仿宋" w:cs="仿宋"/>
                <w:kern w:val="0"/>
                <w:sz w:val="22"/>
                <w:lang w:eastAsia="en-US"/>
              </w:rPr>
            </w:pPr>
          </w:p>
          <w:p>
            <w:pPr>
              <w:autoSpaceDE w:val="0"/>
              <w:autoSpaceDN w:val="0"/>
              <w:spacing w:before="1"/>
              <w:ind w:left="153" w:right="146"/>
              <w:jc w:val="center"/>
              <w:rPr>
                <w:rFonts w:ascii="仿宋" w:hAnsi="仿宋" w:eastAsia="仿宋" w:cs="仿宋"/>
                <w:kern w:val="0"/>
                <w:sz w:val="30"/>
                <w:lang w:eastAsia="en-US"/>
              </w:rPr>
            </w:pPr>
            <w:r>
              <w:rPr>
                <w:rFonts w:ascii="仿宋" w:hAnsi="仿宋" w:eastAsia="仿宋" w:cs="仿宋"/>
                <w:kern w:val="0"/>
                <w:sz w:val="30"/>
                <w:lang w:eastAsia="en-US"/>
              </w:rPr>
              <w:t>实效性</w:t>
            </w:r>
          </w:p>
        </w:tc>
        <w:tc>
          <w:tcPr>
            <w:tcW w:w="5811" w:type="dxa"/>
          </w:tcPr>
          <w:p>
            <w:pPr>
              <w:autoSpaceDE w:val="0"/>
              <w:autoSpaceDN w:val="0"/>
              <w:spacing w:line="480" w:lineRule="exact"/>
              <w:ind w:left="107" w:right="89"/>
              <w:rPr>
                <w:rFonts w:ascii="仿宋" w:hAnsi="仿宋" w:eastAsia="仿宋" w:cs="仿宋"/>
                <w:kern w:val="0"/>
                <w:sz w:val="28"/>
                <w:lang w:eastAsia="zh-CN"/>
              </w:rPr>
            </w:pPr>
            <w:r>
              <w:rPr>
                <w:rFonts w:ascii="仿宋" w:hAnsi="仿宋" w:eastAsia="仿宋" w:cs="仿宋"/>
                <w:kern w:val="0"/>
                <w:sz w:val="28"/>
                <w:lang w:eastAsia="zh-CN"/>
              </w:rPr>
              <w:t>考察项目对精准扶贫脱贫和乡村振兴的贡献度。项目对农村组织和农民增收、地方产业结构优化的促进效果；或者对当地就业、教育、医疗、环境保护与生态建设等方面的促进效果。</w:t>
            </w:r>
          </w:p>
        </w:tc>
        <w:tc>
          <w:tcPr>
            <w:tcW w:w="993" w:type="dxa"/>
          </w:tcPr>
          <w:p>
            <w:pPr>
              <w:autoSpaceDE w:val="0"/>
              <w:autoSpaceDN w:val="0"/>
              <w:jc w:val="left"/>
              <w:rPr>
                <w:rFonts w:ascii="黑体" w:hAnsi="仿宋" w:eastAsia="仿宋" w:cs="仿宋"/>
                <w:kern w:val="0"/>
                <w:sz w:val="30"/>
                <w:lang w:eastAsia="zh-CN"/>
              </w:rPr>
            </w:pPr>
          </w:p>
          <w:p>
            <w:pPr>
              <w:autoSpaceDE w:val="0"/>
              <w:autoSpaceDN w:val="0"/>
              <w:jc w:val="left"/>
              <w:rPr>
                <w:rFonts w:ascii="黑体" w:hAnsi="仿宋" w:eastAsia="仿宋" w:cs="仿宋"/>
                <w:kern w:val="0"/>
                <w:sz w:val="30"/>
                <w:lang w:eastAsia="zh-CN"/>
              </w:rPr>
            </w:pPr>
          </w:p>
          <w:p>
            <w:pPr>
              <w:autoSpaceDE w:val="0"/>
              <w:autoSpaceDN w:val="0"/>
              <w:spacing w:before="5"/>
              <w:jc w:val="left"/>
              <w:rPr>
                <w:rFonts w:ascii="黑体" w:hAnsi="仿宋" w:eastAsia="仿宋" w:cs="仿宋"/>
                <w:kern w:val="0"/>
                <w:sz w:val="22"/>
                <w:lang w:eastAsia="zh-CN"/>
              </w:rPr>
            </w:pPr>
          </w:p>
          <w:p>
            <w:pPr>
              <w:autoSpaceDE w:val="0"/>
              <w:autoSpaceDN w:val="0"/>
              <w:spacing w:before="1"/>
              <w:ind w:left="172" w:right="164"/>
              <w:jc w:val="center"/>
              <w:rPr>
                <w:rFonts w:ascii="仿宋" w:hAnsi="仿宋" w:eastAsia="仿宋" w:cs="仿宋"/>
                <w:kern w:val="0"/>
                <w:sz w:val="30"/>
                <w:lang w:eastAsia="en-US"/>
              </w:rPr>
            </w:pPr>
            <w:r>
              <w:rPr>
                <w:rFonts w:ascii="仿宋" w:hAnsi="仿宋" w:eastAsia="仿宋" w:cs="仿宋"/>
                <w:kern w:val="0"/>
                <w:sz w:val="30"/>
                <w:lang w:eastAsia="en-US"/>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9" w:hRule="atLeast"/>
        </w:trPr>
        <w:tc>
          <w:tcPr>
            <w:tcW w:w="1555" w:type="dxa"/>
          </w:tcPr>
          <w:p>
            <w:pPr>
              <w:autoSpaceDE w:val="0"/>
              <w:autoSpaceDN w:val="0"/>
              <w:jc w:val="left"/>
              <w:rPr>
                <w:rFonts w:ascii="黑体" w:hAnsi="仿宋" w:eastAsia="仿宋" w:cs="仿宋"/>
                <w:kern w:val="0"/>
                <w:sz w:val="30"/>
                <w:lang w:eastAsia="en-US"/>
              </w:rPr>
            </w:pPr>
          </w:p>
          <w:p>
            <w:pPr>
              <w:autoSpaceDE w:val="0"/>
              <w:autoSpaceDN w:val="0"/>
              <w:jc w:val="left"/>
              <w:rPr>
                <w:rFonts w:ascii="黑体" w:hAnsi="仿宋" w:eastAsia="仿宋" w:cs="仿宋"/>
                <w:kern w:val="0"/>
                <w:sz w:val="30"/>
                <w:lang w:eastAsia="en-US"/>
              </w:rPr>
            </w:pPr>
          </w:p>
          <w:p>
            <w:pPr>
              <w:autoSpaceDE w:val="0"/>
              <w:autoSpaceDN w:val="0"/>
              <w:spacing w:before="5"/>
              <w:jc w:val="left"/>
              <w:rPr>
                <w:rFonts w:ascii="黑体" w:hAnsi="仿宋" w:eastAsia="仿宋" w:cs="仿宋"/>
                <w:kern w:val="0"/>
                <w:sz w:val="22"/>
                <w:lang w:eastAsia="en-US"/>
              </w:rPr>
            </w:pPr>
          </w:p>
          <w:p>
            <w:pPr>
              <w:autoSpaceDE w:val="0"/>
              <w:autoSpaceDN w:val="0"/>
              <w:ind w:left="153" w:right="146"/>
              <w:jc w:val="center"/>
              <w:rPr>
                <w:rFonts w:ascii="仿宋" w:hAnsi="仿宋" w:eastAsia="仿宋" w:cs="仿宋"/>
                <w:kern w:val="0"/>
                <w:sz w:val="30"/>
                <w:lang w:eastAsia="en-US"/>
              </w:rPr>
            </w:pPr>
            <w:r>
              <w:rPr>
                <w:rFonts w:ascii="仿宋" w:hAnsi="仿宋" w:eastAsia="仿宋" w:cs="仿宋"/>
                <w:kern w:val="0"/>
                <w:sz w:val="30"/>
                <w:lang w:eastAsia="en-US"/>
              </w:rPr>
              <w:t>创新性</w:t>
            </w:r>
          </w:p>
        </w:tc>
        <w:tc>
          <w:tcPr>
            <w:tcW w:w="5811" w:type="dxa"/>
          </w:tcPr>
          <w:p>
            <w:pPr>
              <w:autoSpaceDE w:val="0"/>
              <w:autoSpaceDN w:val="0"/>
              <w:spacing w:before="103" w:line="321" w:lineRule="auto"/>
              <w:ind w:left="107" w:right="94"/>
              <w:rPr>
                <w:rFonts w:ascii="仿宋" w:hAnsi="仿宋" w:eastAsia="仿宋" w:cs="仿宋"/>
                <w:kern w:val="0"/>
                <w:sz w:val="28"/>
                <w:lang w:eastAsia="zh-CN"/>
              </w:rPr>
            </w:pPr>
            <w:r>
              <w:rPr>
                <w:rFonts w:ascii="仿宋" w:hAnsi="仿宋" w:eastAsia="仿宋" w:cs="仿宋"/>
                <w:spacing w:val="12"/>
                <w:kern w:val="0"/>
                <w:sz w:val="28"/>
                <w:lang w:eastAsia="zh-CN"/>
              </w:rPr>
              <w:t>考察项目的技术创新程度和对创新技术的引</w:t>
            </w:r>
            <w:r>
              <w:rPr>
                <w:rFonts w:ascii="仿宋" w:hAnsi="仿宋" w:eastAsia="仿宋" w:cs="仿宋"/>
                <w:spacing w:val="5"/>
                <w:kern w:val="0"/>
                <w:sz w:val="28"/>
                <w:lang w:eastAsia="zh-CN"/>
              </w:rPr>
              <w:t>入与应用</w:t>
            </w:r>
            <w:r>
              <w:rPr>
                <w:rFonts w:ascii="仿宋" w:hAnsi="仿宋" w:eastAsia="仿宋" w:cs="仿宋"/>
                <w:spacing w:val="4"/>
                <w:kern w:val="0"/>
                <w:sz w:val="28"/>
                <w:lang w:eastAsia="zh-CN"/>
              </w:rPr>
              <w:t>（鼓励高校科研成果转化</w:t>
            </w:r>
            <w:r>
              <w:rPr>
                <w:rFonts w:ascii="仿宋" w:hAnsi="仿宋" w:eastAsia="仿宋" w:cs="仿宋"/>
                <w:spacing w:val="-135"/>
                <w:kern w:val="0"/>
                <w:sz w:val="28"/>
                <w:lang w:eastAsia="zh-CN"/>
              </w:rPr>
              <w:t>）</w:t>
            </w:r>
            <w:r>
              <w:rPr>
                <w:rFonts w:ascii="仿宋" w:hAnsi="仿宋" w:eastAsia="仿宋" w:cs="仿宋"/>
                <w:spacing w:val="3"/>
                <w:kern w:val="0"/>
                <w:sz w:val="28"/>
                <w:lang w:eastAsia="zh-CN"/>
              </w:rPr>
              <w:t>；或者项</w:t>
            </w:r>
            <w:r>
              <w:rPr>
                <w:rFonts w:ascii="仿宋" w:hAnsi="仿宋" w:eastAsia="仿宋" w:cs="仿宋"/>
                <w:spacing w:val="-3"/>
                <w:kern w:val="0"/>
                <w:sz w:val="28"/>
                <w:lang w:eastAsia="zh-CN"/>
              </w:rPr>
              <w:t>目在生产、服务、营销等商业模式要素上的创</w:t>
            </w:r>
            <w:r>
              <w:rPr>
                <w:rFonts w:ascii="仿宋" w:hAnsi="仿宋" w:eastAsia="仿宋" w:cs="仿宋"/>
                <w:spacing w:val="-4"/>
                <w:kern w:val="0"/>
                <w:sz w:val="28"/>
                <w:lang w:eastAsia="zh-CN"/>
              </w:rPr>
              <w:t>新程度；或者项目组织与资源整合模式的创新</w:t>
            </w:r>
          </w:p>
          <w:p>
            <w:pPr>
              <w:autoSpaceDE w:val="0"/>
              <w:autoSpaceDN w:val="0"/>
              <w:spacing w:line="353" w:lineRule="exact"/>
              <w:ind w:left="107"/>
              <w:rPr>
                <w:rFonts w:ascii="仿宋" w:hAnsi="仿宋" w:eastAsia="仿宋" w:cs="仿宋"/>
                <w:kern w:val="0"/>
                <w:sz w:val="28"/>
                <w:lang w:eastAsia="en-US"/>
              </w:rPr>
            </w:pPr>
            <w:r>
              <w:rPr>
                <w:rFonts w:ascii="仿宋" w:hAnsi="仿宋" w:eastAsia="仿宋" w:cs="仿宋"/>
                <w:kern w:val="0"/>
                <w:sz w:val="28"/>
                <w:lang w:eastAsia="en-US"/>
              </w:rPr>
              <w:t>程度。</w:t>
            </w:r>
          </w:p>
        </w:tc>
        <w:tc>
          <w:tcPr>
            <w:tcW w:w="993" w:type="dxa"/>
          </w:tcPr>
          <w:p>
            <w:pPr>
              <w:autoSpaceDE w:val="0"/>
              <w:autoSpaceDN w:val="0"/>
              <w:jc w:val="left"/>
              <w:rPr>
                <w:rFonts w:ascii="黑体" w:hAnsi="仿宋" w:eastAsia="仿宋" w:cs="仿宋"/>
                <w:kern w:val="0"/>
                <w:sz w:val="30"/>
                <w:lang w:eastAsia="en-US"/>
              </w:rPr>
            </w:pPr>
          </w:p>
          <w:p>
            <w:pPr>
              <w:autoSpaceDE w:val="0"/>
              <w:autoSpaceDN w:val="0"/>
              <w:jc w:val="left"/>
              <w:rPr>
                <w:rFonts w:ascii="黑体" w:hAnsi="仿宋" w:eastAsia="仿宋" w:cs="仿宋"/>
                <w:kern w:val="0"/>
                <w:sz w:val="30"/>
                <w:lang w:eastAsia="en-US"/>
              </w:rPr>
            </w:pPr>
          </w:p>
          <w:p>
            <w:pPr>
              <w:autoSpaceDE w:val="0"/>
              <w:autoSpaceDN w:val="0"/>
              <w:spacing w:before="5"/>
              <w:jc w:val="left"/>
              <w:rPr>
                <w:rFonts w:ascii="黑体" w:hAnsi="仿宋" w:eastAsia="仿宋" w:cs="仿宋"/>
                <w:kern w:val="0"/>
                <w:sz w:val="22"/>
                <w:lang w:eastAsia="en-US"/>
              </w:rPr>
            </w:pPr>
          </w:p>
          <w:p>
            <w:pPr>
              <w:autoSpaceDE w:val="0"/>
              <w:autoSpaceDN w:val="0"/>
              <w:ind w:left="172" w:right="164"/>
              <w:jc w:val="center"/>
              <w:rPr>
                <w:rFonts w:ascii="仿宋" w:hAnsi="仿宋" w:eastAsia="仿宋" w:cs="仿宋"/>
                <w:kern w:val="0"/>
                <w:sz w:val="30"/>
                <w:lang w:eastAsia="en-US"/>
              </w:rPr>
            </w:pPr>
            <w:r>
              <w:rPr>
                <w:rFonts w:ascii="仿宋" w:hAnsi="仿宋" w:eastAsia="仿宋" w:cs="仿宋"/>
                <w:kern w:val="0"/>
                <w:sz w:val="30"/>
                <w:lang w:eastAsia="en-U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1555" w:type="dxa"/>
          </w:tcPr>
          <w:p>
            <w:pPr>
              <w:autoSpaceDE w:val="0"/>
              <w:autoSpaceDN w:val="0"/>
              <w:jc w:val="left"/>
              <w:rPr>
                <w:rFonts w:ascii="黑体" w:hAnsi="仿宋" w:eastAsia="仿宋" w:cs="仿宋"/>
                <w:kern w:val="0"/>
                <w:sz w:val="30"/>
                <w:lang w:eastAsia="en-US"/>
              </w:rPr>
            </w:pPr>
          </w:p>
          <w:p>
            <w:pPr>
              <w:autoSpaceDE w:val="0"/>
              <w:autoSpaceDN w:val="0"/>
              <w:jc w:val="left"/>
              <w:rPr>
                <w:rFonts w:ascii="黑体" w:hAnsi="仿宋" w:eastAsia="仿宋" w:cs="仿宋"/>
                <w:kern w:val="0"/>
                <w:sz w:val="30"/>
                <w:lang w:eastAsia="en-US"/>
              </w:rPr>
            </w:pPr>
          </w:p>
          <w:p>
            <w:pPr>
              <w:autoSpaceDE w:val="0"/>
              <w:autoSpaceDN w:val="0"/>
              <w:spacing w:before="2"/>
              <w:jc w:val="left"/>
              <w:rPr>
                <w:rFonts w:ascii="黑体" w:hAnsi="仿宋" w:eastAsia="仿宋" w:cs="仿宋"/>
                <w:kern w:val="0"/>
                <w:sz w:val="40"/>
                <w:lang w:eastAsia="en-US"/>
              </w:rPr>
            </w:pPr>
          </w:p>
          <w:p>
            <w:pPr>
              <w:autoSpaceDE w:val="0"/>
              <w:autoSpaceDN w:val="0"/>
              <w:ind w:left="153" w:right="144"/>
              <w:jc w:val="center"/>
              <w:rPr>
                <w:rFonts w:ascii="仿宋" w:hAnsi="仿宋" w:eastAsia="仿宋" w:cs="仿宋"/>
                <w:kern w:val="0"/>
                <w:sz w:val="30"/>
                <w:lang w:eastAsia="en-US"/>
              </w:rPr>
            </w:pPr>
            <w:r>
              <w:rPr>
                <w:rFonts w:ascii="仿宋" w:hAnsi="仿宋" w:eastAsia="仿宋" w:cs="仿宋"/>
                <w:kern w:val="0"/>
                <w:sz w:val="30"/>
                <w:lang w:eastAsia="en-US"/>
              </w:rPr>
              <w:t>可持续性</w:t>
            </w:r>
          </w:p>
        </w:tc>
        <w:tc>
          <w:tcPr>
            <w:tcW w:w="5811" w:type="dxa"/>
          </w:tcPr>
          <w:p>
            <w:pPr>
              <w:autoSpaceDE w:val="0"/>
              <w:autoSpaceDN w:val="0"/>
              <w:spacing w:line="480" w:lineRule="exact"/>
              <w:ind w:left="107" w:right="94"/>
              <w:rPr>
                <w:rFonts w:ascii="仿宋" w:hAnsi="仿宋" w:eastAsia="仿宋" w:cs="仿宋"/>
                <w:kern w:val="0"/>
                <w:sz w:val="28"/>
                <w:lang w:eastAsia="zh-CN"/>
              </w:rPr>
            </w:pPr>
            <w:r>
              <w:rPr>
                <w:rFonts w:ascii="仿宋" w:hAnsi="仿宋" w:eastAsia="仿宋" w:cs="仿宋"/>
                <w:spacing w:val="-4"/>
                <w:kern w:val="0"/>
                <w:sz w:val="28"/>
                <w:lang w:eastAsia="zh-CN"/>
              </w:rPr>
              <w:t>考察项目的持续生存能力和推广性。项目的存续时间、自造血能力、市场份额等，业务成长</w:t>
            </w:r>
            <w:r>
              <w:rPr>
                <w:rFonts w:ascii="仿宋" w:hAnsi="仿宋" w:eastAsia="仿宋" w:cs="仿宋"/>
                <w:spacing w:val="-3"/>
                <w:kern w:val="0"/>
                <w:sz w:val="28"/>
                <w:lang w:eastAsia="zh-CN"/>
              </w:rPr>
              <w:t>的计划和可能性（包括人力资源、资金、技术</w:t>
            </w:r>
            <w:r>
              <w:rPr>
                <w:rFonts w:ascii="仿宋" w:hAnsi="仿宋" w:eastAsia="仿宋" w:cs="仿宋"/>
                <w:spacing w:val="4"/>
                <w:kern w:val="0"/>
                <w:sz w:val="28"/>
                <w:lang w:eastAsia="zh-CN"/>
              </w:rPr>
              <w:t>等方面支持其未来持续稳健增长</w:t>
            </w:r>
            <w:r>
              <w:rPr>
                <w:rFonts w:ascii="仿宋" w:hAnsi="仿宋" w:eastAsia="仿宋" w:cs="仿宋"/>
                <w:spacing w:val="-133"/>
                <w:kern w:val="0"/>
                <w:sz w:val="28"/>
                <w:lang w:eastAsia="zh-CN"/>
              </w:rPr>
              <w:t>）</w:t>
            </w:r>
            <w:r>
              <w:rPr>
                <w:rFonts w:ascii="仿宋" w:hAnsi="仿宋" w:eastAsia="仿宋" w:cs="仿宋"/>
                <w:spacing w:val="1"/>
                <w:kern w:val="0"/>
                <w:sz w:val="28"/>
                <w:lang w:eastAsia="zh-CN"/>
              </w:rPr>
              <w:t>；或者在精</w:t>
            </w:r>
            <w:r>
              <w:rPr>
                <w:rFonts w:ascii="仿宋" w:hAnsi="仿宋" w:eastAsia="仿宋" w:cs="仿宋"/>
                <w:spacing w:val="12"/>
                <w:kern w:val="0"/>
                <w:sz w:val="28"/>
                <w:lang w:eastAsia="zh-CN"/>
              </w:rPr>
              <w:t>准扶贫和乡村振兴方面形成的模式具有推广</w:t>
            </w:r>
            <w:r>
              <w:rPr>
                <w:rFonts w:ascii="仿宋" w:hAnsi="仿宋" w:eastAsia="仿宋" w:cs="仿宋"/>
                <w:kern w:val="0"/>
                <w:sz w:val="28"/>
                <w:lang w:eastAsia="zh-CN"/>
              </w:rPr>
              <w:t>性。</w:t>
            </w:r>
          </w:p>
        </w:tc>
        <w:tc>
          <w:tcPr>
            <w:tcW w:w="993" w:type="dxa"/>
          </w:tcPr>
          <w:p>
            <w:pPr>
              <w:autoSpaceDE w:val="0"/>
              <w:autoSpaceDN w:val="0"/>
              <w:jc w:val="left"/>
              <w:rPr>
                <w:rFonts w:ascii="黑体" w:hAnsi="仿宋" w:eastAsia="仿宋" w:cs="仿宋"/>
                <w:kern w:val="0"/>
                <w:sz w:val="30"/>
                <w:lang w:eastAsia="zh-CN"/>
              </w:rPr>
            </w:pPr>
          </w:p>
          <w:p>
            <w:pPr>
              <w:autoSpaceDE w:val="0"/>
              <w:autoSpaceDN w:val="0"/>
              <w:jc w:val="left"/>
              <w:rPr>
                <w:rFonts w:ascii="黑体" w:hAnsi="仿宋" w:eastAsia="仿宋" w:cs="仿宋"/>
                <w:kern w:val="0"/>
                <w:sz w:val="30"/>
                <w:lang w:eastAsia="zh-CN"/>
              </w:rPr>
            </w:pPr>
          </w:p>
          <w:p>
            <w:pPr>
              <w:autoSpaceDE w:val="0"/>
              <w:autoSpaceDN w:val="0"/>
              <w:spacing w:before="2"/>
              <w:jc w:val="left"/>
              <w:rPr>
                <w:rFonts w:ascii="黑体" w:hAnsi="仿宋" w:eastAsia="仿宋" w:cs="仿宋"/>
                <w:kern w:val="0"/>
                <w:sz w:val="40"/>
                <w:lang w:eastAsia="zh-CN"/>
              </w:rPr>
            </w:pPr>
          </w:p>
          <w:p>
            <w:pPr>
              <w:autoSpaceDE w:val="0"/>
              <w:autoSpaceDN w:val="0"/>
              <w:ind w:left="172" w:right="164"/>
              <w:jc w:val="center"/>
              <w:rPr>
                <w:rFonts w:ascii="仿宋" w:hAnsi="仿宋" w:eastAsia="仿宋" w:cs="仿宋"/>
                <w:kern w:val="0"/>
                <w:sz w:val="30"/>
                <w:lang w:eastAsia="en-US"/>
              </w:rPr>
            </w:pPr>
            <w:r>
              <w:rPr>
                <w:rFonts w:ascii="仿宋" w:hAnsi="仿宋" w:eastAsia="仿宋" w:cs="仿宋"/>
                <w:kern w:val="0"/>
                <w:sz w:val="30"/>
                <w:lang w:eastAsia="en-US"/>
              </w:rPr>
              <w:t>20</w:t>
            </w:r>
          </w:p>
        </w:tc>
      </w:tr>
    </w:tbl>
    <w:p/>
    <w:sectPr>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C11"/>
    <w:rsid w:val="003C5C02"/>
    <w:rsid w:val="004F498B"/>
    <w:rsid w:val="006A420C"/>
    <w:rsid w:val="007109BF"/>
    <w:rsid w:val="00A64C11"/>
    <w:rsid w:val="00BD1893"/>
    <w:rsid w:val="00C24BF1"/>
    <w:rsid w:val="0C5B36EB"/>
    <w:rsid w:val="BAFE751C"/>
    <w:rsid w:val="C1EFA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table" w:customStyle="1" w:styleId="8">
    <w:name w:val="Table Normal"/>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368</Words>
  <Characters>2100</Characters>
  <Lines>17</Lines>
  <Paragraphs>4</Paragraphs>
  <TotalTime>0</TotalTime>
  <ScaleCrop>false</ScaleCrop>
  <LinksUpToDate>false</LinksUpToDate>
  <CharactersWithSpaces>2464</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2020-04-02T19:15:00Z</dcterms:created>
  <dc:creator>1150833439@qq.com</dc:creator>
  <cp:lastModifiedBy>天儿的电脑</cp:lastModifiedBy>
  <dcterms:modified xsi:type="dcterms:W3CDTF">2021-04-01T08:46:24Z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237755EB79324F0184B209AAF5DDC3DE</vt:lpwstr>
  </property>
</Properties>
</file>