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E9" w:rsidRDefault="00EC0844">
      <w:pPr>
        <w:spacing w:line="360" w:lineRule="exact"/>
        <w:rPr>
          <w:rFonts w:ascii="仿宋_GB2312" w:eastAsia="仿宋_GB2312" w:hAnsi="仿宋_GB2312" w:cs="仿宋_GB2312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6"/>
          <w:szCs w:val="36"/>
        </w:rPr>
        <w:t>：</w:t>
      </w:r>
    </w:p>
    <w:p w:rsidR="00D54AE9" w:rsidRDefault="00EC0844">
      <w:pPr>
        <w:spacing w:afterLines="50" w:after="156" w:line="360" w:lineRule="auto"/>
        <w:jc w:val="center"/>
        <w:rPr>
          <w:rFonts w:ascii="黑体" w:eastAsia="黑体" w:hAnsi="黑体" w:cs="仿宋"/>
          <w:b/>
          <w:sz w:val="36"/>
          <w:szCs w:val="32"/>
        </w:rPr>
      </w:pPr>
      <w:r>
        <w:rPr>
          <w:rFonts w:ascii="黑体" w:eastAsia="黑体" w:hAnsi="黑体" w:cs="仿宋" w:hint="eastAsia"/>
          <w:b/>
          <w:sz w:val="36"/>
          <w:szCs w:val="32"/>
        </w:rPr>
        <w:t>山西大学学生社团年审评分细则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细化我校学生社团成立程序，优化社团组织机构，规范社团工作机制与管理制度，提升社团活动质量，扩大学生社团在广大学生中的影响，使我校学生社团向着高层次、高格调、高品位的方向发展，达到切实加强校园文化建设、丰富校园文化的目的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color="000000"/>
          <w:lang w:bidi="ar"/>
        </w:rPr>
        <w:t>山西大学学生社团建设管理评议委员会办公室</w:t>
      </w:r>
      <w:r>
        <w:rPr>
          <w:rFonts w:ascii="仿宋_GB2312" w:eastAsia="仿宋_GB2312" w:hint="eastAsia"/>
          <w:sz w:val="32"/>
          <w:szCs w:val="32"/>
        </w:rPr>
        <w:t>将对全校所有正式学生社团进行年审。审核方案如下：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一、审核办法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、学生社团需提交</w:t>
      </w:r>
      <w:r>
        <w:rPr>
          <w:rFonts w:ascii="仿宋_GB2312" w:eastAsia="仿宋_GB2312" w:hAnsi="仿宋_GB2312" w:cs="仿宋_GB2312" w:hint="eastAsia"/>
          <w:sz w:val="32"/>
          <w:szCs w:val="32"/>
          <w:u w:color="000000"/>
        </w:rPr>
        <w:t>《山西大学学生社团年审自评报告》和</w:t>
      </w:r>
      <w:r>
        <w:rPr>
          <w:rFonts w:ascii="仿宋_GB2312" w:eastAsia="仿宋_GB2312" w:hint="eastAsia"/>
          <w:sz w:val="32"/>
          <w:szCs w:val="32"/>
        </w:rPr>
        <w:t>《山西大学学生社团年审表》由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color="000000"/>
          <w:lang w:bidi="ar"/>
        </w:rPr>
        <w:t>山西大学学生社团建设管理评议委员会办公室</w:t>
      </w:r>
      <w:r>
        <w:rPr>
          <w:rFonts w:ascii="仿宋_GB2312" w:eastAsia="仿宋_GB2312" w:hint="eastAsia"/>
          <w:sz w:val="32"/>
          <w:szCs w:val="32"/>
        </w:rPr>
        <w:t>进行审核（电子版文件发送</w:t>
      </w:r>
      <w:proofErr w:type="gramStart"/>
      <w:r>
        <w:rPr>
          <w:rFonts w:ascii="仿宋_GB2312" w:eastAsia="仿宋_GB2312" w:hint="eastAsia"/>
          <w:sz w:val="32"/>
          <w:szCs w:val="32"/>
        </w:rPr>
        <w:t>至通知</w:t>
      </w:r>
      <w:proofErr w:type="gramEnd"/>
      <w:r>
        <w:rPr>
          <w:rFonts w:ascii="仿宋_GB2312" w:eastAsia="仿宋_GB2312" w:hint="eastAsia"/>
          <w:sz w:val="32"/>
          <w:szCs w:val="32"/>
        </w:rPr>
        <w:t>的指定邮箱，纸质版文件提交另行通知）；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、社团负责人</w:t>
      </w:r>
      <w:r>
        <w:rPr>
          <w:rFonts w:ascii="仿宋_GB2312" w:eastAsia="仿宋_GB2312" w:hAnsi="仿宋_GB2312" w:cs="仿宋_GB2312" w:hint="eastAsia"/>
          <w:sz w:val="32"/>
          <w:szCs w:val="32"/>
        </w:rPr>
        <w:t>针对上一年度工作总结及未来工作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计划进行</w:t>
      </w:r>
      <w:r>
        <w:rPr>
          <w:rFonts w:ascii="仿宋_GB2312" w:eastAsia="仿宋_GB2312" w:hint="eastAsia"/>
          <w:sz w:val="32"/>
          <w:szCs w:val="32"/>
        </w:rPr>
        <w:t>线上报告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，学生社团建设管理评议委员会</w:t>
      </w:r>
      <w:r>
        <w:rPr>
          <w:rFonts w:ascii="仿宋_GB2312" w:eastAsia="仿宋_GB2312" w:hint="eastAsia"/>
          <w:sz w:val="32"/>
          <w:szCs w:val="32"/>
        </w:rPr>
        <w:t>进行评分；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评议委员会</w:t>
      </w:r>
      <w:r>
        <w:rPr>
          <w:rFonts w:ascii="仿宋_GB2312" w:eastAsia="仿宋_GB2312" w:hint="eastAsia"/>
          <w:sz w:val="32"/>
          <w:szCs w:val="32"/>
        </w:rPr>
        <w:t>根据审核公示计算出各社团最终得分。在确定各学生社团最终得分时，评议委员会</w:t>
      </w:r>
      <w:proofErr w:type="gramStart"/>
      <w:r>
        <w:rPr>
          <w:rFonts w:ascii="仿宋_GB2312" w:eastAsia="仿宋_GB2312" w:hint="eastAsia"/>
          <w:sz w:val="32"/>
          <w:szCs w:val="32"/>
        </w:rPr>
        <w:t>评分占</w:t>
      </w:r>
      <w:proofErr w:type="gramEnd"/>
      <w:r>
        <w:rPr>
          <w:rFonts w:ascii="仿宋_GB2312" w:eastAsia="仿宋_GB2312" w:hint="eastAsia"/>
          <w:sz w:val="32"/>
          <w:szCs w:val="32"/>
        </w:rPr>
        <w:t>比重</w:t>
      </w:r>
      <w:r>
        <w:rPr>
          <w:rFonts w:ascii="仿宋_GB2312" w:eastAsia="仿宋_GB2312" w:hint="eastAsia"/>
          <w:sz w:val="32"/>
          <w:szCs w:val="32"/>
        </w:rPr>
        <w:t>70%</w:t>
      </w:r>
      <w:r>
        <w:rPr>
          <w:rFonts w:ascii="仿宋_GB2312" w:eastAsia="仿宋_GB2312" w:hint="eastAsia"/>
          <w:sz w:val="32"/>
          <w:szCs w:val="32"/>
        </w:rPr>
        <w:t>，答辩环节占比重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％；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、学生社团年审评分公式：总分（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分）</w:t>
      </w:r>
      <w:r>
        <w:rPr>
          <w:rFonts w:ascii="仿宋_GB2312" w:eastAsia="仿宋_GB2312" w:hint="eastAsia"/>
          <w:sz w:val="32"/>
          <w:szCs w:val="32"/>
        </w:rPr>
        <w:t>=</w:t>
      </w:r>
      <w:r>
        <w:rPr>
          <w:rFonts w:ascii="仿宋_GB2312" w:eastAsia="仿宋_GB2312" w:hint="eastAsia"/>
          <w:sz w:val="32"/>
          <w:szCs w:val="32"/>
        </w:rPr>
        <w:t>基础材料评分（</w:t>
      </w:r>
      <w:r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分）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线上答辩评分（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分）。基础材料评分根据社团提交的材料，由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评议委员会</w:t>
      </w:r>
      <w:r>
        <w:rPr>
          <w:rFonts w:ascii="仿宋_GB2312" w:eastAsia="仿宋_GB2312" w:hint="eastAsia"/>
          <w:sz w:val="32"/>
          <w:szCs w:val="32"/>
        </w:rPr>
        <w:t>进行统一评分；线上答辩评分根据答辩环节表现，进行现场评分。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二、审核内容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（一）、基础材料（</w:t>
      </w:r>
      <w:r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</w:t>
      </w:r>
      <w:r>
        <w:rPr>
          <w:rFonts w:ascii="仿宋_GB2312" w:eastAsia="仿宋_GB2312" w:hint="eastAsia"/>
          <w:sz w:val="32"/>
          <w:szCs w:val="32"/>
        </w:rPr>
        <w:t>被审核社团工作开展情况良好，本年度内无违规违纪现象；（</w:t>
      </w:r>
      <w:r w:rsidRPr="00BE083D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被审核社团严格遵守学校的各项社团管理制度。（</w:t>
      </w:r>
      <w:r w:rsidRPr="00BE083D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社团章程（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分）</w:t>
      </w:r>
      <w:bookmarkStart w:id="0" w:name="_GoBack"/>
      <w:bookmarkEnd w:id="0"/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）章程制定：具有完备的社团章程且制定社团章程符合自社团发展情况，不存在抄袭与模仿的情况，听取社团内部人员、指导教师及社联的意见和建议。（优秀，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分；良好，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分）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）章程执行：社团严格执行社团章程，接受社联和指导教师监督。（优秀，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分；良好，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）章程改进：根据社团发展情况更新，并向社联报备。（有更新，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分；未更新，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社团组织结构（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社团管理结构完善，部门设置规范、完善，职能吻合，各部门做到各尽其责、相互协作，并具有规范的社团徽章、口号。注重社员管理，维护社员权益，尊重社员合理要求，采取措施听取社员的意见与建议。（优秀，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分；良好，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分；一般，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）社团制度完善，有完整的制度管理体系（包括社团章程、财务制度、会员管理办法、协会基本资料、换届制度等）。（优秀，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分；良好，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分；一般，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社团财务情况（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）财务由财务负责人分管，做到责任到人；社团财务收支合理，有切实的经费</w:t>
      </w:r>
      <w:r>
        <w:rPr>
          <w:rFonts w:ascii="仿宋_GB2312" w:eastAsia="仿宋_GB2312" w:hint="eastAsia"/>
          <w:sz w:val="32"/>
          <w:szCs w:val="32"/>
        </w:rPr>
        <w:t>预算及详细的活动经费总结。（优</w:t>
      </w:r>
      <w:r>
        <w:rPr>
          <w:rFonts w:ascii="仿宋_GB2312" w:eastAsia="仿宋_GB2312" w:hint="eastAsia"/>
          <w:sz w:val="32"/>
          <w:szCs w:val="32"/>
        </w:rPr>
        <w:lastRenderedPageBreak/>
        <w:t>秀，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分；良好，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分；一般，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）社团账目完整、真实，有详细的财务记录，原始数据保存完好，财务收支有据可依；财务管理公开、透明，每月按时向社联综合事务部报备社团财务报表（优秀，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分；良好，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分；一般，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社团活动情况（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）活动次数（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社团活动的开展频次程度（开展</w:t>
      </w:r>
      <w:r>
        <w:rPr>
          <w:rFonts w:ascii="仿宋_GB2312" w:eastAsia="仿宋_GB2312" w:hint="eastAsia"/>
          <w:sz w:val="32"/>
          <w:szCs w:val="32"/>
        </w:rPr>
        <w:t>1-5</w:t>
      </w:r>
      <w:r>
        <w:rPr>
          <w:rFonts w:ascii="仿宋_GB2312" w:eastAsia="仿宋_GB2312" w:hint="eastAsia"/>
          <w:sz w:val="32"/>
          <w:szCs w:val="32"/>
        </w:rPr>
        <w:t>次为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分，</w:t>
      </w:r>
      <w:r>
        <w:rPr>
          <w:rFonts w:ascii="仿宋_GB2312" w:eastAsia="仿宋_GB2312" w:hint="eastAsia"/>
          <w:sz w:val="32"/>
          <w:szCs w:val="32"/>
        </w:rPr>
        <w:t>5-9</w:t>
      </w:r>
      <w:r>
        <w:rPr>
          <w:rFonts w:ascii="仿宋_GB2312" w:eastAsia="仿宋_GB2312" w:hint="eastAsia"/>
          <w:sz w:val="32"/>
          <w:szCs w:val="32"/>
        </w:rPr>
        <w:t>次为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分，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次及以上为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分）。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）活动质量（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 w:cs="Calibri" w:hint="eastAsia"/>
          <w:sz w:val="32"/>
          <w:szCs w:val="32"/>
        </w:rPr>
        <w:t>①</w:t>
      </w:r>
      <w:r>
        <w:rPr>
          <w:rFonts w:ascii="仿宋_GB2312" w:eastAsia="仿宋_GB2312" w:hint="eastAsia"/>
          <w:sz w:val="32"/>
          <w:szCs w:val="32"/>
        </w:rPr>
        <w:t>能够举办社团</w:t>
      </w:r>
      <w:proofErr w:type="gramStart"/>
      <w:r>
        <w:rPr>
          <w:rFonts w:ascii="仿宋_GB2312" w:eastAsia="仿宋_GB2312" w:hint="eastAsia"/>
          <w:sz w:val="32"/>
          <w:szCs w:val="32"/>
        </w:rPr>
        <w:t>持色主题</w:t>
      </w:r>
      <w:proofErr w:type="gramEnd"/>
      <w:r>
        <w:rPr>
          <w:rFonts w:ascii="仿宋_GB2312" w:eastAsia="仿宋_GB2312" w:hint="eastAsia"/>
          <w:sz w:val="32"/>
          <w:szCs w:val="32"/>
        </w:rPr>
        <w:t>活动，积极创新活动形式，充分利用新媒体技术，不断增强社团活动的吸引力</w:t>
      </w:r>
      <w:r>
        <w:rPr>
          <w:rFonts w:ascii="仿宋_GB2312" w:eastAsia="仿宋_GB2312" w:hint="eastAsia"/>
          <w:sz w:val="32"/>
          <w:szCs w:val="32"/>
        </w:rPr>
        <w:t>(3</w:t>
      </w:r>
      <w:r>
        <w:rPr>
          <w:rFonts w:ascii="仿宋_GB2312" w:eastAsia="仿宋_GB2312" w:hint="eastAsia"/>
          <w:sz w:val="32"/>
          <w:szCs w:val="32"/>
        </w:rPr>
        <w:t>分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 w:cs="Calibri" w:hint="eastAsia"/>
          <w:sz w:val="32"/>
          <w:szCs w:val="32"/>
        </w:rPr>
        <w:t>②活动前期</w:t>
      </w:r>
      <w:r>
        <w:rPr>
          <w:rFonts w:ascii="仿宋_GB2312" w:eastAsia="仿宋_GB2312" w:hint="eastAsia"/>
          <w:sz w:val="32"/>
          <w:szCs w:val="32"/>
        </w:rPr>
        <w:t>有完整的活动策划案，做好相应的宣传工作，活动结束后，做好活动的总结报告（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 w:cs="Calibri" w:hint="eastAsia"/>
          <w:sz w:val="32"/>
          <w:szCs w:val="32"/>
        </w:rPr>
        <w:t>③</w:t>
      </w:r>
      <w:r>
        <w:rPr>
          <w:rFonts w:ascii="仿宋_GB2312" w:eastAsia="仿宋_GB2312" w:hint="eastAsia"/>
          <w:sz w:val="32"/>
          <w:szCs w:val="32"/>
        </w:rPr>
        <w:t>参与人数较多，活动效果好（优秀，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分；良好，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分；一般，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配合开展学校社团工作（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）积极参与社联活动，如同心战</w:t>
      </w:r>
      <w:proofErr w:type="gramStart"/>
      <w:r>
        <w:rPr>
          <w:rFonts w:ascii="仿宋_GB2312" w:eastAsia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生活向前、</w:t>
      </w:r>
      <w:r>
        <w:rPr>
          <w:rFonts w:ascii="仿宋_GB2312" w:eastAsia="仿宋_GB2312" w:hint="eastAsia"/>
          <w:sz w:val="32"/>
          <w:szCs w:val="32"/>
        </w:rPr>
        <w:t>37</w:t>
      </w:r>
      <w:r>
        <w:rPr>
          <w:rFonts w:ascii="仿宋_GB2312" w:eastAsia="仿宋_GB2312" w:hint="eastAsia"/>
          <w:sz w:val="32"/>
          <w:szCs w:val="32"/>
        </w:rPr>
        <w:t>女生节、社团嘉年华等活动（参加次数最多社团为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分，次之为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分，再次为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分，依此类推）。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）积极配合社团发展调研。（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）积极配合学校社团宣传工作，主动联系社联推送相关活动信息。（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指导老师对于社团媒体平台发布的内容有效监管</w:t>
      </w:r>
      <w:r>
        <w:rPr>
          <w:rFonts w:ascii="仿宋_GB2312" w:eastAsia="仿宋_GB2312" w:hint="eastAsia"/>
          <w:sz w:val="32"/>
          <w:szCs w:val="32"/>
        </w:rPr>
        <w:lastRenderedPageBreak/>
        <w:t>程度。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社</w:t>
      </w:r>
      <w:r>
        <w:rPr>
          <w:rFonts w:ascii="仿宋_GB2312" w:eastAsia="仿宋_GB2312" w:hint="eastAsia"/>
          <w:sz w:val="32"/>
          <w:szCs w:val="32"/>
        </w:rPr>
        <w:t>团媒体平台发布机制是否健全。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D54AE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（二）、</w:t>
      </w:r>
      <w:r>
        <w:rPr>
          <w:rFonts w:ascii="仿宋_GB2312" w:eastAsia="仿宋_GB2312" w:hint="eastAsia"/>
          <w:sz w:val="32"/>
          <w:szCs w:val="32"/>
        </w:rPr>
        <w:t>社团工作报告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、年审答辩（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）被审核社团积极服从社联年审安排，按时参加年审，不得迟到早退，若社团负责人</w:t>
      </w:r>
      <w:proofErr w:type="gramStart"/>
      <w:r>
        <w:rPr>
          <w:rFonts w:ascii="仿宋_GB2312" w:eastAsia="仿宋_GB2312" w:hint="eastAsia"/>
          <w:sz w:val="32"/>
          <w:szCs w:val="32"/>
        </w:rPr>
        <w:t>旷</w:t>
      </w:r>
      <w:proofErr w:type="gramEnd"/>
      <w:r>
        <w:rPr>
          <w:rFonts w:ascii="仿宋_GB2312" w:eastAsia="仿宋_GB2312" w:hint="eastAsia"/>
          <w:sz w:val="32"/>
          <w:szCs w:val="32"/>
        </w:rPr>
        <w:t>会，则主观评分为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分。（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）按照社联组织建设部要求按时完成年审资料的提交及</w:t>
      </w:r>
      <w:r>
        <w:rPr>
          <w:rFonts w:ascii="仿宋_GB2312" w:eastAsia="仿宋_GB2312" w:hint="eastAsia"/>
          <w:sz w:val="32"/>
          <w:szCs w:val="32"/>
        </w:rPr>
        <w:t>PPT</w:t>
      </w:r>
      <w:r>
        <w:rPr>
          <w:rFonts w:ascii="仿宋_GB2312" w:eastAsia="仿宋_GB2312" w:hint="eastAsia"/>
          <w:sz w:val="32"/>
          <w:szCs w:val="32"/>
        </w:rPr>
        <w:t>制作，</w:t>
      </w:r>
      <w:r>
        <w:rPr>
          <w:rFonts w:ascii="仿宋_GB2312" w:eastAsia="仿宋_GB2312" w:hint="eastAsia"/>
          <w:sz w:val="32"/>
          <w:szCs w:val="32"/>
        </w:rPr>
        <w:t>PPT</w:t>
      </w:r>
      <w:r>
        <w:rPr>
          <w:rFonts w:ascii="仿宋_GB2312" w:eastAsia="仿宋_GB2312" w:hint="eastAsia"/>
          <w:sz w:val="32"/>
          <w:szCs w:val="32"/>
        </w:rPr>
        <w:t>需按照社联提供的模板制作，若未按时提交材料，则视为放弃。（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）年审展示环节，发言人准备充分，发言内容包括负责人自身情况、指导教师情况、本学年财务明细、社团所举办的精品活动、在活动举办中遇到的问题、社团自评以及社团新媒体展示七</w:t>
      </w:r>
      <w:r>
        <w:rPr>
          <w:rFonts w:ascii="仿宋_GB2312" w:eastAsia="仿宋_GB2312" w:hint="eastAsia"/>
          <w:sz w:val="32"/>
          <w:szCs w:val="32"/>
        </w:rPr>
        <w:t>个部分。（优秀，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分；良好，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分；一般，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、社团负责人（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）认真贯彻落实学校关于社团建设管理的工作要求。自觉接受业务指导单位和指导教师的业务指导，规划和保证社团发展的正确方向。（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积极组织社员开展社团活动，制定详细社团发展方案（完善社团内部运行机制和规章制度，规范财务管理和成员管理，按照要求完成社团年审、活动报批、成员注册、社团考核和媒体运营工作，组织社团成员开展自主学习与举</w:t>
      </w:r>
      <w:r>
        <w:rPr>
          <w:rFonts w:ascii="仿宋_GB2312" w:eastAsia="仿宋_GB2312" w:hint="eastAsia"/>
          <w:sz w:val="32"/>
          <w:szCs w:val="32"/>
        </w:rPr>
        <w:lastRenderedPageBreak/>
        <w:t>办活动）；（优秀，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分；良好，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分；一般，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）注重社员管理，维护社员权益，尊重社员合理要求，</w:t>
      </w:r>
      <w:r>
        <w:rPr>
          <w:rFonts w:ascii="仿宋_GB2312" w:eastAsia="仿宋_GB2312" w:hint="eastAsia"/>
          <w:sz w:val="32"/>
          <w:szCs w:val="32"/>
        </w:rPr>
        <w:t>采取措施听取社员的意见与建议。（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、指导教师工作情况（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）指导学生社团发展建设，把握社团发展正确方向、加强社团成员思想政治教育；（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）规范学生社团日常管理，参加学生社团相关活动，文件及时签字审阅；（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分）。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）定期对学生社团的工作给予专业性指导，对自身工作做好总结，及时指导改进改革学生社团；（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分）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三、附则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、审核必须本着公开、公平、公正的原则，根据社团最终得分得出社团评级，分为优秀、良好、合格、不合格，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分以下（含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分）为不合格，</w:t>
      </w:r>
      <w:r>
        <w:rPr>
          <w:rFonts w:ascii="仿宋_GB2312" w:eastAsia="仿宋_GB2312" w:hint="eastAsia"/>
          <w:sz w:val="32"/>
          <w:szCs w:val="32"/>
        </w:rPr>
        <w:t>60-70</w:t>
      </w:r>
      <w:r>
        <w:rPr>
          <w:rFonts w:ascii="仿宋_GB2312" w:eastAsia="仿宋_GB2312" w:hint="eastAsia"/>
          <w:sz w:val="32"/>
          <w:szCs w:val="32"/>
        </w:rPr>
        <w:t>分（含</w:t>
      </w:r>
      <w:r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分）为合格，</w:t>
      </w:r>
      <w:r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-85</w:t>
      </w:r>
      <w:r>
        <w:rPr>
          <w:rFonts w:ascii="仿宋_GB2312" w:eastAsia="仿宋_GB2312" w:hint="eastAsia"/>
          <w:sz w:val="32"/>
          <w:szCs w:val="32"/>
        </w:rPr>
        <w:t>（含</w:t>
      </w:r>
      <w:r>
        <w:rPr>
          <w:rFonts w:ascii="仿宋_GB2312" w:eastAsia="仿宋_GB2312" w:hint="eastAsia"/>
          <w:sz w:val="32"/>
          <w:szCs w:val="32"/>
        </w:rPr>
        <w:t>85</w:t>
      </w:r>
      <w:r>
        <w:rPr>
          <w:rFonts w:ascii="仿宋_GB2312" w:eastAsia="仿宋_GB2312" w:hint="eastAsia"/>
          <w:sz w:val="32"/>
          <w:szCs w:val="32"/>
        </w:rPr>
        <w:t>分）为良好，</w:t>
      </w:r>
      <w:r>
        <w:rPr>
          <w:rFonts w:ascii="仿宋_GB2312" w:eastAsia="仿宋_GB2312" w:hint="eastAsia"/>
          <w:sz w:val="32"/>
          <w:szCs w:val="32"/>
        </w:rPr>
        <w:t>85</w:t>
      </w:r>
      <w:r>
        <w:rPr>
          <w:rFonts w:ascii="仿宋_GB2312" w:eastAsia="仿宋_GB2312" w:hint="eastAsia"/>
          <w:sz w:val="32"/>
          <w:szCs w:val="32"/>
        </w:rPr>
        <w:t>分以上为优秀，不合格社团须按要求限期进行整改；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、审核结果将在山西大学信息门户和山西大学学生社团联合会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</w:t>
      </w:r>
      <w:proofErr w:type="gramEnd"/>
      <w:r>
        <w:rPr>
          <w:rFonts w:ascii="仿宋_GB2312" w:eastAsia="仿宋_GB2312" w:hint="eastAsia"/>
          <w:sz w:val="32"/>
          <w:szCs w:val="32"/>
        </w:rPr>
        <w:t>平台同时进行公布；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、学生社团年审细则的具体实施由山西大学学生社团联合会负责，接受全校学生的监督；</w:t>
      </w:r>
    </w:p>
    <w:p w:rsidR="00D54AE9" w:rsidRDefault="00EC084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、本制度的解释权归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color="000000"/>
          <w:lang w:bidi="ar"/>
        </w:rPr>
        <w:t>山西大学学生社团建设管理评议委员会办公室</w:t>
      </w:r>
      <w:r>
        <w:rPr>
          <w:rFonts w:ascii="仿宋_GB2312" w:eastAsia="仿宋_GB2312" w:hint="eastAsia"/>
          <w:sz w:val="32"/>
          <w:szCs w:val="32"/>
        </w:rPr>
        <w:t>所有。</w:t>
      </w:r>
    </w:p>
    <w:p w:rsidR="00D54AE9" w:rsidRDefault="00D54AE9">
      <w:pPr>
        <w:spacing w:line="560" w:lineRule="exact"/>
        <w:ind w:firstLine="555"/>
        <w:jc w:val="left"/>
        <w:rPr>
          <w:rFonts w:ascii="仿宋_GB2312" w:eastAsia="仿宋_GB2312"/>
          <w:sz w:val="32"/>
          <w:szCs w:val="32"/>
        </w:rPr>
      </w:pPr>
    </w:p>
    <w:p w:rsidR="00D54AE9" w:rsidRDefault="00D54AE9">
      <w:pPr>
        <w:rPr>
          <w:rFonts w:ascii="仿宋" w:eastAsia="仿宋" w:hAnsi="仿宋" w:cs="仿宋"/>
          <w:sz w:val="32"/>
          <w:szCs w:val="32"/>
        </w:rPr>
      </w:pPr>
    </w:p>
    <w:sectPr w:rsidR="00D5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44" w:rsidRDefault="00EC0844" w:rsidP="00BE083D">
      <w:r>
        <w:separator/>
      </w:r>
    </w:p>
  </w:endnote>
  <w:endnote w:type="continuationSeparator" w:id="0">
    <w:p w:rsidR="00EC0844" w:rsidRDefault="00EC0844" w:rsidP="00BE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44" w:rsidRDefault="00EC0844" w:rsidP="00BE083D">
      <w:r>
        <w:separator/>
      </w:r>
    </w:p>
  </w:footnote>
  <w:footnote w:type="continuationSeparator" w:id="0">
    <w:p w:rsidR="00EC0844" w:rsidRDefault="00EC0844" w:rsidP="00BE0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MzBlODUzZGQ2MmU5OWY4YjBkNTcwYmIxY2Y4MTQifQ=="/>
  </w:docVars>
  <w:rsids>
    <w:rsidRoot w:val="005C1508"/>
    <w:rsid w:val="000D79FD"/>
    <w:rsid w:val="001C5EDF"/>
    <w:rsid w:val="00210DC9"/>
    <w:rsid w:val="0041680C"/>
    <w:rsid w:val="004A246D"/>
    <w:rsid w:val="00562492"/>
    <w:rsid w:val="005C1508"/>
    <w:rsid w:val="00634C8A"/>
    <w:rsid w:val="00933059"/>
    <w:rsid w:val="009F081C"/>
    <w:rsid w:val="00A271F7"/>
    <w:rsid w:val="00AE20E0"/>
    <w:rsid w:val="00BE083D"/>
    <w:rsid w:val="00BF389B"/>
    <w:rsid w:val="00C2729B"/>
    <w:rsid w:val="00D54AE9"/>
    <w:rsid w:val="00E817A8"/>
    <w:rsid w:val="00EA39BE"/>
    <w:rsid w:val="00EC0844"/>
    <w:rsid w:val="00FE184C"/>
    <w:rsid w:val="069F2C04"/>
    <w:rsid w:val="0C1630DE"/>
    <w:rsid w:val="1073307D"/>
    <w:rsid w:val="11BF14D2"/>
    <w:rsid w:val="1A3B555D"/>
    <w:rsid w:val="264A41F9"/>
    <w:rsid w:val="317F71D8"/>
    <w:rsid w:val="38563836"/>
    <w:rsid w:val="4DF96CE5"/>
    <w:rsid w:val="54B90739"/>
    <w:rsid w:val="5F1618F0"/>
    <w:rsid w:val="6A6B2D85"/>
    <w:rsid w:val="6B875A72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table" w:styleId="a8">
    <w:name w:val="Table Grid"/>
    <w:basedOn w:val="a1"/>
    <w:unhideWhenUsed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黑体"/>
      <w:kern w:val="2"/>
      <w:sz w:val="21"/>
      <w:szCs w:val="22"/>
    </w:rPr>
  </w:style>
  <w:style w:type="character" w:customStyle="1" w:styleId="Char3">
    <w:name w:val="批注主题 Char"/>
    <w:basedOn w:val="Char"/>
    <w:link w:val="a7"/>
    <w:qFormat/>
    <w:rPr>
      <w:rFonts w:ascii="Calibri" w:eastAsia="宋体" w:hAnsi="Calibri" w:cs="黑体"/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qFormat/>
    <w:rPr>
      <w:rFonts w:ascii="Calibri" w:eastAsia="宋体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table" w:styleId="a8">
    <w:name w:val="Table Grid"/>
    <w:basedOn w:val="a1"/>
    <w:unhideWhenUsed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黑体"/>
      <w:kern w:val="2"/>
      <w:sz w:val="21"/>
      <w:szCs w:val="22"/>
    </w:rPr>
  </w:style>
  <w:style w:type="character" w:customStyle="1" w:styleId="Char3">
    <w:name w:val="批注主题 Char"/>
    <w:basedOn w:val="Char"/>
    <w:link w:val="a7"/>
    <w:qFormat/>
    <w:rPr>
      <w:rFonts w:ascii="Calibri" w:eastAsia="宋体" w:hAnsi="Calibri" w:cs="黑体"/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LC</cp:lastModifiedBy>
  <cp:revision>9</cp:revision>
  <dcterms:created xsi:type="dcterms:W3CDTF">2022-05-15T07:11:00Z</dcterms:created>
  <dcterms:modified xsi:type="dcterms:W3CDTF">2022-05-18T04:47:00Z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FBA183F213ED4181AFFF73A18C159EFB</vt:lpwstr>
  </property>
</Properties>
</file>